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86" w:rsidRDefault="00771EF2" w:rsidP="00E90E86">
      <w:pPr>
        <w:pStyle w:val="Title"/>
      </w:pPr>
      <w:r>
        <w:t>E</w:t>
      </w:r>
      <w:r w:rsidR="00E35D11">
        <w:t>nergy monitoring project results</w:t>
      </w:r>
    </w:p>
    <w:p w:rsidR="00E90E86" w:rsidRPr="00E90E86" w:rsidRDefault="009E3396" w:rsidP="00E90E86">
      <w:pPr>
        <w:pStyle w:val="Subtitle"/>
      </w:pPr>
      <w:r>
        <w:t>July to September</w:t>
      </w:r>
      <w:r w:rsidR="00E35D11">
        <w:t xml:space="preserve"> 2017</w:t>
      </w:r>
    </w:p>
    <w:p w:rsidR="00E90E86" w:rsidRDefault="00E90E86" w:rsidP="00E90E86">
      <w:pPr>
        <w:pStyle w:val="Heading1"/>
      </w:pPr>
      <w:r>
        <w:t>Description of the paper</w:t>
      </w:r>
    </w:p>
    <w:p w:rsidR="00E90E86" w:rsidRDefault="00E35D11" w:rsidP="00E90E86">
      <w:r>
        <w:t xml:space="preserve">This paper provides the results of an energy monitoring project at </w:t>
      </w:r>
      <w:r w:rsidR="00771EF2">
        <w:t>a medical research labs building</w:t>
      </w:r>
      <w:r>
        <w:t xml:space="preserve"> at the University of Edinburgh.</w:t>
      </w:r>
    </w:p>
    <w:p w:rsidR="00836C6C" w:rsidRDefault="00836C6C" w:rsidP="00836C6C">
      <w:pPr>
        <w:pStyle w:val="Heading1"/>
      </w:pPr>
      <w:r>
        <w:t>Methodology</w:t>
      </w:r>
    </w:p>
    <w:p w:rsidR="00836C6C" w:rsidRDefault="00836C6C" w:rsidP="00836C6C">
      <w:r>
        <w:t>Four 3-phase electricity monitors were installed in the distribution boards to monitor</w:t>
      </w:r>
      <w:r w:rsidR="00566518">
        <w:t xml:space="preserve"> four electrical distribution boards (DBs) which (roughly) cover</w:t>
      </w:r>
      <w:r>
        <w:t xml:space="preserve"> the 2</w:t>
      </w:r>
      <w:r w:rsidRPr="00836C6C">
        <w:rPr>
          <w:vertAlign w:val="superscript"/>
        </w:rPr>
        <w:t>nd</w:t>
      </w:r>
      <w:r>
        <w:t xml:space="preserve"> floor labs, 2</w:t>
      </w:r>
      <w:r w:rsidRPr="00836C6C">
        <w:rPr>
          <w:vertAlign w:val="superscript"/>
        </w:rPr>
        <w:t>nd</w:t>
      </w:r>
      <w:r>
        <w:t xml:space="preserve"> floor offices, 3</w:t>
      </w:r>
      <w:r w:rsidRPr="00836C6C">
        <w:rPr>
          <w:vertAlign w:val="superscript"/>
        </w:rPr>
        <w:t>rd</w:t>
      </w:r>
      <w:r>
        <w:t xml:space="preserve"> floor labs and 3</w:t>
      </w:r>
      <w:r w:rsidRPr="00836C6C">
        <w:rPr>
          <w:vertAlign w:val="superscript"/>
        </w:rPr>
        <w:t>rd</w:t>
      </w:r>
      <w:r>
        <w:t xml:space="preserve"> floor offices</w:t>
      </w:r>
      <w:r w:rsidR="00566518">
        <w:t xml:space="preserve"> (each DB may have a mixture of office and lab space, but will be predominantly one or the other)</w:t>
      </w:r>
      <w:r>
        <w:t>. Energy data was captured from 5</w:t>
      </w:r>
      <w:r w:rsidRPr="00836C6C">
        <w:rPr>
          <w:vertAlign w:val="superscript"/>
        </w:rPr>
        <w:t>th</w:t>
      </w:r>
      <w:r>
        <w:t xml:space="preserve"> July until 26</w:t>
      </w:r>
      <w:r w:rsidRPr="00836C6C">
        <w:rPr>
          <w:vertAlign w:val="superscript"/>
        </w:rPr>
        <w:t>th</w:t>
      </w:r>
      <w:r>
        <w:t xml:space="preserve"> September.</w:t>
      </w:r>
      <w:r w:rsidR="000E05A4">
        <w:t xml:space="preserve"> It had been hoped that we could also monitor how busy each space was through footfall counters, however equipment to monitor this was not available until the end of the project.</w:t>
      </w:r>
      <w:r w:rsidR="00F84D22">
        <w:t xml:space="preserve"> Instead, data has been used from H.R. files which indicates days of absence (for annual leave or sickness), from which variations in the populations of the 2</w:t>
      </w:r>
      <w:r w:rsidR="00F84D22" w:rsidRPr="00F84D22">
        <w:rPr>
          <w:vertAlign w:val="superscript"/>
        </w:rPr>
        <w:t>nd</w:t>
      </w:r>
      <w:r w:rsidR="00F84D22">
        <w:t xml:space="preserve"> and 3</w:t>
      </w:r>
      <w:r w:rsidR="00F84D22" w:rsidRPr="00F84D22">
        <w:rPr>
          <w:vertAlign w:val="superscript"/>
        </w:rPr>
        <w:t>rd</w:t>
      </w:r>
      <w:r w:rsidR="00F84D22">
        <w:t xml:space="preserve"> floors have been deduced.</w:t>
      </w:r>
    </w:p>
    <w:p w:rsidR="000E05A4" w:rsidRDefault="000E05A4" w:rsidP="00836C6C">
      <w:r>
        <w:t>After an initial monitoring period to establish a baseline, posters were installed around the site advising of energy saving practices on the 31</w:t>
      </w:r>
      <w:r w:rsidRPr="000E05A4">
        <w:rPr>
          <w:vertAlign w:val="superscript"/>
        </w:rPr>
        <w:t>st</w:t>
      </w:r>
      <w:r>
        <w:t xml:space="preserve"> July. This was followed up by a further period of monitoring prior to face-to-face </w:t>
      </w:r>
      <w:r w:rsidR="0072216B">
        <w:t>presentations</w:t>
      </w:r>
      <w:r>
        <w:t xml:space="preserve"> on energy saving practices being provided on 22</w:t>
      </w:r>
      <w:r w:rsidRPr="000E05A4">
        <w:rPr>
          <w:vertAlign w:val="superscript"/>
        </w:rPr>
        <w:t>nd</w:t>
      </w:r>
      <w:r>
        <w:t xml:space="preserve"> and 23</w:t>
      </w:r>
      <w:r w:rsidRPr="000E05A4">
        <w:rPr>
          <w:vertAlign w:val="superscript"/>
        </w:rPr>
        <w:t>rd</w:t>
      </w:r>
      <w:r>
        <w:t xml:space="preserve"> August. </w:t>
      </w:r>
      <w:r w:rsidR="0072216B">
        <w:t>Attendance at the presentations was low, with perhaps a maximum of 20 staff attending in total across both sessions.</w:t>
      </w:r>
    </w:p>
    <w:p w:rsidR="00880167" w:rsidRDefault="00880167">
      <w:pPr>
        <w:rPr>
          <w:rFonts w:asciiTheme="majorHAnsi" w:eastAsiaTheme="majorEastAsia" w:hAnsiTheme="majorHAnsi" w:cstheme="majorBidi"/>
          <w:color w:val="262626" w:themeColor="text1" w:themeTint="D9"/>
          <w:sz w:val="36"/>
          <w:szCs w:val="32"/>
        </w:rPr>
      </w:pPr>
      <w:r>
        <w:br w:type="page"/>
      </w:r>
    </w:p>
    <w:p w:rsidR="00A722C0" w:rsidRDefault="00A722C0" w:rsidP="00A722C0">
      <w:pPr>
        <w:pStyle w:val="Heading1"/>
      </w:pPr>
      <w:r>
        <w:lastRenderedPageBreak/>
        <w:t>Data collection and manipulation</w:t>
      </w:r>
    </w:p>
    <w:p w:rsidR="00A722C0" w:rsidRDefault="00A722C0" w:rsidP="00A722C0">
      <w:r>
        <w:t>The energy monitors needed to be extracted at regular intervals in order to recharge batteries for several hours (overnight). As such days at the beginning or end of a monitoring period have only partial energy recording as either the evening or morning is missing. These days have been removed from the energy data presented below, in order that only full 24h periods can be shown and compared. The first and second monitoring periods ended in an uncontrolled manner when batteries ran out. As such, the period of time covered by the first and second monitoring periods varies depending on the battery life of the individual monitor. The 3</w:t>
      </w:r>
      <w:r w:rsidRPr="002343C1">
        <w:rPr>
          <w:vertAlign w:val="superscript"/>
        </w:rPr>
        <w:t>rd</w:t>
      </w:r>
      <w:r>
        <w:t xml:space="preserve"> floor lab monitor also has missing data from 1st August until 10</w:t>
      </w:r>
      <w:r w:rsidRPr="002343C1">
        <w:rPr>
          <w:vertAlign w:val="superscript"/>
        </w:rPr>
        <w:t>th</w:t>
      </w:r>
      <w:r>
        <w:t xml:space="preserve"> August (for some reason the period of monitoring from 4</w:t>
      </w:r>
      <w:r w:rsidRPr="002343C1">
        <w:rPr>
          <w:vertAlign w:val="superscript"/>
        </w:rPr>
        <w:t>th</w:t>
      </w:r>
      <w:r>
        <w:t xml:space="preserve"> August to 9</w:t>
      </w:r>
      <w:r w:rsidRPr="002343C1">
        <w:rPr>
          <w:vertAlign w:val="superscript"/>
        </w:rPr>
        <w:t>th</w:t>
      </w:r>
      <w:r>
        <w:t xml:space="preserve"> August which other monitors successfully captured seems not to have worked on this monitor).</w:t>
      </w:r>
    </w:p>
    <w:p w:rsidR="001361B1" w:rsidRDefault="001361B1" w:rsidP="00836C6C">
      <w:r>
        <w:t>For the 2</w:t>
      </w:r>
      <w:r w:rsidRPr="001361B1">
        <w:rPr>
          <w:vertAlign w:val="superscript"/>
        </w:rPr>
        <w:t>nd</w:t>
      </w:r>
      <w:r>
        <w:t xml:space="preserve"> and 3</w:t>
      </w:r>
      <w:r w:rsidRPr="001361B1">
        <w:rPr>
          <w:vertAlign w:val="superscript"/>
        </w:rPr>
        <w:t>rd</w:t>
      </w:r>
      <w:r>
        <w:t xml:space="preserve"> floor labs the first two monitoring periods were July 5</w:t>
      </w:r>
      <w:r w:rsidRPr="001361B1">
        <w:rPr>
          <w:vertAlign w:val="superscript"/>
        </w:rPr>
        <w:t>th</w:t>
      </w:r>
      <w:r>
        <w:t xml:space="preserve"> to July 17</w:t>
      </w:r>
      <w:r w:rsidRPr="001361B1">
        <w:rPr>
          <w:vertAlign w:val="superscript"/>
        </w:rPr>
        <w:t>th</w:t>
      </w:r>
      <w:r>
        <w:t>, and July 21</w:t>
      </w:r>
      <w:r w:rsidRPr="001361B1">
        <w:rPr>
          <w:vertAlign w:val="superscript"/>
        </w:rPr>
        <w:t>st</w:t>
      </w:r>
      <w:r>
        <w:t xml:space="preserve"> to August 1</w:t>
      </w:r>
      <w:r w:rsidRPr="001361B1">
        <w:rPr>
          <w:vertAlign w:val="superscript"/>
        </w:rPr>
        <w:t>st</w:t>
      </w:r>
      <w:r>
        <w:t>.</w:t>
      </w:r>
    </w:p>
    <w:p w:rsidR="001361B1" w:rsidRDefault="001361B1" w:rsidP="001361B1">
      <w:r>
        <w:t>For the 2</w:t>
      </w:r>
      <w:r w:rsidRPr="001361B1">
        <w:rPr>
          <w:vertAlign w:val="superscript"/>
        </w:rPr>
        <w:t>nd</w:t>
      </w:r>
      <w:r>
        <w:t xml:space="preserve"> floor offices the periods were: July 5</w:t>
      </w:r>
      <w:r w:rsidRPr="001361B1">
        <w:rPr>
          <w:vertAlign w:val="superscript"/>
        </w:rPr>
        <w:t>th</w:t>
      </w:r>
      <w:r>
        <w:t xml:space="preserve"> to July </w:t>
      </w:r>
      <w:proofErr w:type="gramStart"/>
      <w:r>
        <w:t>16</w:t>
      </w:r>
      <w:r w:rsidRPr="001361B1">
        <w:rPr>
          <w:vertAlign w:val="superscript"/>
        </w:rPr>
        <w:t>th</w:t>
      </w:r>
      <w:r>
        <w:t xml:space="preserve"> ,</w:t>
      </w:r>
      <w:proofErr w:type="gramEnd"/>
      <w:r>
        <w:t xml:space="preserve"> and July 21</w:t>
      </w:r>
      <w:r w:rsidRPr="001361B1">
        <w:rPr>
          <w:vertAlign w:val="superscript"/>
        </w:rPr>
        <w:t>st</w:t>
      </w:r>
      <w:r>
        <w:t xml:space="preserve"> to August 2</w:t>
      </w:r>
      <w:r w:rsidRPr="001361B1">
        <w:rPr>
          <w:vertAlign w:val="superscript"/>
        </w:rPr>
        <w:t>nd</w:t>
      </w:r>
      <w:r>
        <w:t>.</w:t>
      </w:r>
    </w:p>
    <w:p w:rsidR="001361B1" w:rsidRDefault="001361B1" w:rsidP="001361B1">
      <w:r>
        <w:t>For the 3</w:t>
      </w:r>
      <w:r w:rsidRPr="001361B1">
        <w:rPr>
          <w:vertAlign w:val="superscript"/>
        </w:rPr>
        <w:t>rd</w:t>
      </w:r>
      <w:r>
        <w:t xml:space="preserve"> floor offices the periods were: July 5</w:t>
      </w:r>
      <w:r w:rsidRPr="001361B1">
        <w:rPr>
          <w:vertAlign w:val="superscript"/>
        </w:rPr>
        <w:t>th</w:t>
      </w:r>
      <w:r>
        <w:t xml:space="preserve"> to July </w:t>
      </w:r>
      <w:proofErr w:type="gramStart"/>
      <w:r>
        <w:t>14</w:t>
      </w:r>
      <w:r w:rsidRPr="001361B1">
        <w:rPr>
          <w:vertAlign w:val="superscript"/>
        </w:rPr>
        <w:t>th</w:t>
      </w:r>
      <w:r>
        <w:t xml:space="preserve"> ,</w:t>
      </w:r>
      <w:proofErr w:type="gramEnd"/>
      <w:r>
        <w:t xml:space="preserve"> and July 21</w:t>
      </w:r>
      <w:r w:rsidRPr="001361B1">
        <w:rPr>
          <w:vertAlign w:val="superscript"/>
        </w:rPr>
        <w:t>st</w:t>
      </w:r>
      <w:r>
        <w:t xml:space="preserve"> to August 2</w:t>
      </w:r>
      <w:r w:rsidRPr="001361B1">
        <w:rPr>
          <w:vertAlign w:val="superscript"/>
        </w:rPr>
        <w:t>nd</w:t>
      </w:r>
      <w:r>
        <w:t>.</w:t>
      </w:r>
    </w:p>
    <w:p w:rsidR="000E05A4" w:rsidRDefault="00D47920" w:rsidP="00836C6C">
      <w:r>
        <w:t>This required the removal of</w:t>
      </w:r>
      <w:r w:rsidR="00EB3846">
        <w:t xml:space="preserve"> energy data from</w:t>
      </w:r>
      <w:r>
        <w:t xml:space="preserve"> the following dates: </w:t>
      </w:r>
    </w:p>
    <w:p w:rsidR="00D47920" w:rsidRDefault="00D47920" w:rsidP="00836C6C">
      <w:r>
        <w:t>July 5</w:t>
      </w:r>
      <w:r w:rsidRPr="00D47920">
        <w:rPr>
          <w:vertAlign w:val="superscript"/>
        </w:rPr>
        <w:t>th</w:t>
      </w:r>
      <w:r>
        <w:t>, (14</w:t>
      </w:r>
      <w:r w:rsidRPr="00D47920">
        <w:rPr>
          <w:vertAlign w:val="superscript"/>
        </w:rPr>
        <w:t>th</w:t>
      </w:r>
      <w:r>
        <w:t>, 16</w:t>
      </w:r>
      <w:r w:rsidRPr="00D47920">
        <w:rPr>
          <w:vertAlign w:val="superscript"/>
        </w:rPr>
        <w:t>th</w:t>
      </w:r>
      <w:r>
        <w:t xml:space="preserve">, </w:t>
      </w:r>
      <w:proofErr w:type="gramStart"/>
      <w:r>
        <w:t>17</w:t>
      </w:r>
      <w:r w:rsidRPr="00D47920">
        <w:rPr>
          <w:vertAlign w:val="superscript"/>
        </w:rPr>
        <w:t>th</w:t>
      </w:r>
      <w:r>
        <w:t xml:space="preserve"> )</w:t>
      </w:r>
      <w:proofErr w:type="gramEnd"/>
      <w:r>
        <w:t xml:space="preserve"> and 21</w:t>
      </w:r>
      <w:r w:rsidRPr="00D47920">
        <w:rPr>
          <w:vertAlign w:val="superscript"/>
        </w:rPr>
        <w:t>st</w:t>
      </w:r>
      <w:r>
        <w:t>.</w:t>
      </w:r>
    </w:p>
    <w:p w:rsidR="00D47920" w:rsidRDefault="00D47920" w:rsidP="00836C6C">
      <w:r>
        <w:t>August (1</w:t>
      </w:r>
      <w:r w:rsidRPr="00D47920">
        <w:rPr>
          <w:vertAlign w:val="superscript"/>
        </w:rPr>
        <w:t>st</w:t>
      </w:r>
      <w:r>
        <w:t>, 2</w:t>
      </w:r>
      <w:r w:rsidRPr="00D47920">
        <w:rPr>
          <w:vertAlign w:val="superscript"/>
        </w:rPr>
        <w:t>nd</w:t>
      </w:r>
      <w:r>
        <w:t>) 4</w:t>
      </w:r>
      <w:r w:rsidRPr="00D47920">
        <w:rPr>
          <w:vertAlign w:val="superscript"/>
        </w:rPr>
        <w:t>th</w:t>
      </w:r>
      <w:r>
        <w:t>, 9</w:t>
      </w:r>
      <w:r w:rsidRPr="00D47920">
        <w:rPr>
          <w:vertAlign w:val="superscript"/>
        </w:rPr>
        <w:t>th</w:t>
      </w:r>
      <w:r>
        <w:t>, 10</w:t>
      </w:r>
      <w:r w:rsidRPr="00D47920">
        <w:rPr>
          <w:vertAlign w:val="superscript"/>
        </w:rPr>
        <w:t>th</w:t>
      </w:r>
      <w:r>
        <w:t>, 17</w:t>
      </w:r>
      <w:r w:rsidRPr="00D47920">
        <w:rPr>
          <w:vertAlign w:val="superscript"/>
        </w:rPr>
        <w:t>th</w:t>
      </w:r>
      <w:r>
        <w:t>, 18</w:t>
      </w:r>
      <w:r w:rsidRPr="00D47920">
        <w:rPr>
          <w:vertAlign w:val="superscript"/>
        </w:rPr>
        <w:t>th</w:t>
      </w:r>
      <w:r>
        <w:t>, 23</w:t>
      </w:r>
      <w:r w:rsidRPr="00D47920">
        <w:rPr>
          <w:vertAlign w:val="superscript"/>
        </w:rPr>
        <w:t>rd</w:t>
      </w:r>
      <w:r>
        <w:t>, 24</w:t>
      </w:r>
      <w:r w:rsidRPr="00D47920">
        <w:rPr>
          <w:vertAlign w:val="superscript"/>
        </w:rPr>
        <w:t>th</w:t>
      </w:r>
      <w:r>
        <w:t xml:space="preserve"> and 31</w:t>
      </w:r>
      <w:r w:rsidRPr="00D47920">
        <w:rPr>
          <w:vertAlign w:val="superscript"/>
        </w:rPr>
        <w:t>st</w:t>
      </w:r>
    </w:p>
    <w:p w:rsidR="00D47920" w:rsidRDefault="00D47920" w:rsidP="00836C6C">
      <w:r>
        <w:t>September 1</w:t>
      </w:r>
      <w:r w:rsidRPr="00D47920">
        <w:rPr>
          <w:vertAlign w:val="superscript"/>
        </w:rPr>
        <w:t>st</w:t>
      </w:r>
      <w:r>
        <w:t>, 7</w:t>
      </w:r>
      <w:r w:rsidRPr="00D47920">
        <w:rPr>
          <w:vertAlign w:val="superscript"/>
        </w:rPr>
        <w:t>th</w:t>
      </w:r>
      <w:r>
        <w:t>, 8</w:t>
      </w:r>
      <w:r w:rsidRPr="00D47920">
        <w:rPr>
          <w:vertAlign w:val="superscript"/>
        </w:rPr>
        <w:t>th</w:t>
      </w:r>
      <w:r>
        <w:t>, 14</w:t>
      </w:r>
      <w:r w:rsidRPr="00D47920">
        <w:rPr>
          <w:vertAlign w:val="superscript"/>
        </w:rPr>
        <w:t>th</w:t>
      </w:r>
      <w:r>
        <w:t>, 15</w:t>
      </w:r>
      <w:r w:rsidRPr="00D47920">
        <w:rPr>
          <w:vertAlign w:val="superscript"/>
        </w:rPr>
        <w:t>th</w:t>
      </w:r>
      <w:r>
        <w:t xml:space="preserve"> and 26</w:t>
      </w:r>
      <w:r w:rsidRPr="00D47920">
        <w:rPr>
          <w:vertAlign w:val="superscript"/>
        </w:rPr>
        <w:t>th</w:t>
      </w:r>
      <w:r>
        <w:t>.</w:t>
      </w:r>
    </w:p>
    <w:p w:rsidR="00D47920" w:rsidRPr="00836C6C" w:rsidRDefault="00D47920" w:rsidP="00836C6C">
      <w:r>
        <w:t>(</w:t>
      </w:r>
      <w:proofErr w:type="gramStart"/>
      <w:r>
        <w:t>dates</w:t>
      </w:r>
      <w:proofErr w:type="gramEnd"/>
      <w:r>
        <w:t xml:space="preserve"> in brackets denote dates which are included in some datasets but not others, depending on when the battery ran out)</w:t>
      </w:r>
    </w:p>
    <w:p w:rsidR="00880167" w:rsidRDefault="00880167">
      <w:pPr>
        <w:rPr>
          <w:rFonts w:asciiTheme="majorHAnsi" w:eastAsiaTheme="majorEastAsia" w:hAnsiTheme="majorHAnsi" w:cstheme="majorBidi"/>
          <w:color w:val="262626" w:themeColor="text1" w:themeTint="D9"/>
          <w:sz w:val="36"/>
          <w:szCs w:val="32"/>
        </w:rPr>
      </w:pPr>
      <w:r>
        <w:br w:type="page"/>
      </w:r>
    </w:p>
    <w:p w:rsidR="00E35D11" w:rsidRDefault="00F84D22" w:rsidP="00230E32">
      <w:pPr>
        <w:pStyle w:val="Heading1"/>
      </w:pPr>
      <w:r>
        <w:lastRenderedPageBreak/>
        <w:t>Energy consumption r</w:t>
      </w:r>
      <w:r w:rsidR="00E35D11">
        <w:t>esults</w:t>
      </w:r>
    </w:p>
    <w:p w:rsidR="003961C5" w:rsidRDefault="003961C5" w:rsidP="003961C5">
      <w:r>
        <w:t>The below graphs exclude dates with partial data. Weekend dates have been included.</w:t>
      </w:r>
    </w:p>
    <w:p w:rsidR="003961C5" w:rsidRPr="003961C5" w:rsidRDefault="003961C5" w:rsidP="003961C5">
      <w:pPr>
        <w:pStyle w:val="Heading2"/>
      </w:pPr>
      <w:r>
        <w:t>2</w:t>
      </w:r>
      <w:r w:rsidRPr="003961C5">
        <w:rPr>
          <w:vertAlign w:val="superscript"/>
        </w:rPr>
        <w:t>nd</w:t>
      </w:r>
      <w:r>
        <w:t xml:space="preserve"> floor lab</w:t>
      </w:r>
    </w:p>
    <w:p w:rsidR="00E35D11" w:rsidRDefault="003961C5" w:rsidP="00E35D11">
      <w:r>
        <w:rPr>
          <w:noProof/>
          <w:lang w:eastAsia="en-GB"/>
        </w:rPr>
        <w:drawing>
          <wp:inline distT="0" distB="0" distL="0" distR="0" wp14:anchorId="0DDA5FED">
            <wp:extent cx="6181725" cy="252521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663" cy="2537033"/>
                    </a:xfrm>
                    <a:prstGeom prst="rect">
                      <a:avLst/>
                    </a:prstGeom>
                    <a:noFill/>
                  </pic:spPr>
                </pic:pic>
              </a:graphicData>
            </a:graphic>
          </wp:inline>
        </w:drawing>
      </w:r>
    </w:p>
    <w:p w:rsidR="003961C5" w:rsidRDefault="003961C5" w:rsidP="00E35D11">
      <w:r>
        <w:t>The 2</w:t>
      </w:r>
      <w:r w:rsidRPr="003961C5">
        <w:rPr>
          <w:vertAlign w:val="superscript"/>
        </w:rPr>
        <w:t>nd</w:t>
      </w:r>
      <w:r>
        <w:t xml:space="preserve"> floor lab monitoring shows no discernible reduction in energy consumption. In fact, the trend seems to have been towards increasing energy consumption, mainly via slightly increased weekend consumption. </w:t>
      </w:r>
    </w:p>
    <w:p w:rsidR="00E35D11" w:rsidRDefault="003961C5" w:rsidP="00E35D11">
      <w:r>
        <w:t xml:space="preserve">The average </w:t>
      </w:r>
      <w:r w:rsidR="00DE47FF">
        <w:t xml:space="preserve">daily </w:t>
      </w:r>
      <w:r>
        <w:t>energy cost of the first 15 days was £36.77, the average of the last 15 days was £36.81, an increase of 0.1%.</w:t>
      </w:r>
    </w:p>
    <w:p w:rsidR="00E35D11" w:rsidRDefault="003961C5" w:rsidP="003961C5">
      <w:pPr>
        <w:pStyle w:val="Heading2"/>
      </w:pPr>
      <w:r>
        <w:t>3</w:t>
      </w:r>
      <w:r w:rsidRPr="003961C5">
        <w:rPr>
          <w:vertAlign w:val="superscript"/>
        </w:rPr>
        <w:t>rd</w:t>
      </w:r>
      <w:r>
        <w:t xml:space="preserve"> floor lab</w:t>
      </w:r>
    </w:p>
    <w:p w:rsidR="003961C5" w:rsidRDefault="003961C5" w:rsidP="003961C5">
      <w:r>
        <w:rPr>
          <w:noProof/>
          <w:lang w:eastAsia="en-GB"/>
        </w:rPr>
        <w:drawing>
          <wp:inline distT="0" distB="0" distL="0" distR="0" wp14:anchorId="71E42EB1" wp14:editId="094FCDF8">
            <wp:extent cx="612457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4C7D" w:rsidRDefault="003961C5" w:rsidP="003961C5">
      <w:r>
        <w:t>The 3</w:t>
      </w:r>
      <w:r w:rsidRPr="003961C5">
        <w:rPr>
          <w:vertAlign w:val="superscript"/>
        </w:rPr>
        <w:t>rd</w:t>
      </w:r>
      <w:r>
        <w:t xml:space="preserve"> floor lab energy cost monitoring shows a slight decrease over the monitoring period. </w:t>
      </w:r>
      <w:r w:rsidR="006C4C7D">
        <w:t>Slightly lower week-day peaks can be observed, especially around the period at the end of August, beginning of September. This coincides with the energy saving presentations from SRS on 22</w:t>
      </w:r>
      <w:r w:rsidR="006C4C7D" w:rsidRPr="006C4C7D">
        <w:rPr>
          <w:vertAlign w:val="superscript"/>
        </w:rPr>
        <w:t>nd</w:t>
      </w:r>
      <w:r w:rsidR="006C4C7D">
        <w:t xml:space="preserve"> and 23</w:t>
      </w:r>
      <w:r w:rsidR="006C4C7D" w:rsidRPr="006C4C7D">
        <w:rPr>
          <w:vertAlign w:val="superscript"/>
        </w:rPr>
        <w:t>rd</w:t>
      </w:r>
      <w:r w:rsidR="006C4C7D">
        <w:t xml:space="preserve"> August, but other factors could also be at play. Regardless, week-day peaks rose in mid-September, although remaining slightly lower than in July. </w:t>
      </w:r>
    </w:p>
    <w:p w:rsidR="003961C5" w:rsidRDefault="003961C5" w:rsidP="003961C5">
      <w:r>
        <w:lastRenderedPageBreak/>
        <w:t xml:space="preserve">The average </w:t>
      </w:r>
      <w:r w:rsidR="00DE47FF">
        <w:t xml:space="preserve">daily </w:t>
      </w:r>
      <w:r>
        <w:t>energy cost of the first 15 days was £</w:t>
      </w:r>
      <w:r w:rsidR="00530A6F">
        <w:t>24.48</w:t>
      </w:r>
      <w:r>
        <w:t>, the average of the last 15 days was £</w:t>
      </w:r>
      <w:r w:rsidR="00530A6F">
        <w:t>22.18</w:t>
      </w:r>
      <w:r>
        <w:t xml:space="preserve">, </w:t>
      </w:r>
      <w:r w:rsidR="00530A6F">
        <w:t>a decrease</w:t>
      </w:r>
      <w:r>
        <w:t xml:space="preserve"> of </w:t>
      </w:r>
      <w:r w:rsidR="00530A6F">
        <w:t>5.5</w:t>
      </w:r>
      <w:r>
        <w:t>%.</w:t>
      </w:r>
    </w:p>
    <w:p w:rsidR="003961C5" w:rsidRDefault="003961C5" w:rsidP="003961C5"/>
    <w:p w:rsidR="006C4C7D" w:rsidRDefault="006C4C7D" w:rsidP="006C4C7D">
      <w:pPr>
        <w:pStyle w:val="Heading2"/>
      </w:pPr>
      <w:r>
        <w:t>2</w:t>
      </w:r>
      <w:r w:rsidRPr="006C4C7D">
        <w:rPr>
          <w:vertAlign w:val="superscript"/>
        </w:rPr>
        <w:t>nd</w:t>
      </w:r>
      <w:r>
        <w:t xml:space="preserve"> floor offices</w:t>
      </w:r>
    </w:p>
    <w:p w:rsidR="006C4C7D" w:rsidRDefault="006C4C7D" w:rsidP="003961C5">
      <w:r>
        <w:rPr>
          <w:noProof/>
          <w:lang w:eastAsia="en-GB"/>
        </w:rPr>
        <w:drawing>
          <wp:inline distT="0" distB="0" distL="0" distR="0" wp14:anchorId="4A708C39" wp14:editId="7CF98439">
            <wp:extent cx="615315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4C7D" w:rsidRDefault="006C4C7D" w:rsidP="003961C5">
      <w:r>
        <w:t>The trend of this data shows that week-day peaks declined throughout the period until the week of 13</w:t>
      </w:r>
      <w:r w:rsidRPr="006C4C7D">
        <w:rPr>
          <w:vertAlign w:val="superscript"/>
        </w:rPr>
        <w:t>th</w:t>
      </w:r>
      <w:r>
        <w:t xml:space="preserve"> September when they began to rise again to the highest recorded peak on 29</w:t>
      </w:r>
      <w:r w:rsidRPr="006C4C7D">
        <w:rPr>
          <w:vertAlign w:val="superscript"/>
        </w:rPr>
        <w:t>th</w:t>
      </w:r>
      <w:r>
        <w:t xml:space="preserve"> September of almost £30/day. However, weekend use remained low during this period, when compared with the beginning of the monitoring period.</w:t>
      </w:r>
    </w:p>
    <w:p w:rsidR="006C4C7D" w:rsidRDefault="006C4C7D" w:rsidP="006C4C7D">
      <w:r>
        <w:t>The average daily energy cost of the first 15 days was £24.56, the average of the last 15 days was £23.45, a decrease of 4.5%.</w:t>
      </w:r>
    </w:p>
    <w:p w:rsidR="00A403D4" w:rsidRDefault="00A403D4" w:rsidP="006C4C7D"/>
    <w:p w:rsidR="00A403D4" w:rsidRDefault="00A403D4" w:rsidP="00A403D4">
      <w:pPr>
        <w:pStyle w:val="Heading2"/>
      </w:pPr>
      <w:r>
        <w:t>3</w:t>
      </w:r>
      <w:r>
        <w:rPr>
          <w:vertAlign w:val="superscript"/>
        </w:rPr>
        <w:t xml:space="preserve">rd </w:t>
      </w:r>
      <w:r>
        <w:t>floor offices</w:t>
      </w:r>
    </w:p>
    <w:p w:rsidR="00A403D4" w:rsidRDefault="00A403D4" w:rsidP="00A403D4">
      <w:r>
        <w:rPr>
          <w:noProof/>
          <w:lang w:eastAsia="en-GB"/>
        </w:rPr>
        <w:drawing>
          <wp:inline distT="0" distB="0" distL="0" distR="0" wp14:anchorId="36D56372" wp14:editId="5165DB14">
            <wp:extent cx="63627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03D4" w:rsidRDefault="00A403D4" w:rsidP="00A403D4">
      <w:r>
        <w:lastRenderedPageBreak/>
        <w:t>The most noticeable feature of the energy data in the 3</w:t>
      </w:r>
      <w:r w:rsidRPr="00A403D4">
        <w:rPr>
          <w:vertAlign w:val="superscript"/>
        </w:rPr>
        <w:t>rd</w:t>
      </w:r>
      <w:r>
        <w:t xml:space="preserve"> floor offices is the small difference between weekday and weekend use. </w:t>
      </w:r>
      <w:r w:rsidR="00C36A8F">
        <w:t>This may be due to efficient consumption during the weekdays, or inefficient consumption during weekends. In comparison with the 2</w:t>
      </w:r>
      <w:r w:rsidR="00C36A8F" w:rsidRPr="00C36A8F">
        <w:rPr>
          <w:vertAlign w:val="superscript"/>
        </w:rPr>
        <w:t>nd</w:t>
      </w:r>
      <w:r w:rsidR="00C36A8F">
        <w:t xml:space="preserve"> floor offices the weekend troughs seem quite high in the 3</w:t>
      </w:r>
      <w:r w:rsidR="00C36A8F" w:rsidRPr="00C36A8F">
        <w:rPr>
          <w:vertAlign w:val="superscript"/>
        </w:rPr>
        <w:t>rd</w:t>
      </w:r>
      <w:r w:rsidR="00C36A8F">
        <w:t xml:space="preserve"> floor offices, indicating comparatively higher energy consumption over weekends. When we take into account that weekday consumption is lower at the 3</w:t>
      </w:r>
      <w:r w:rsidR="00C36A8F" w:rsidRPr="00C36A8F">
        <w:rPr>
          <w:vertAlign w:val="superscript"/>
        </w:rPr>
        <w:t>rd</w:t>
      </w:r>
      <w:r w:rsidR="00C36A8F">
        <w:t xml:space="preserve"> floor offices (compared with 2</w:t>
      </w:r>
      <w:r w:rsidR="00C36A8F" w:rsidRPr="00C36A8F">
        <w:rPr>
          <w:vertAlign w:val="superscript"/>
        </w:rPr>
        <w:t>nd</w:t>
      </w:r>
      <w:r w:rsidR="00C36A8F">
        <w:t xml:space="preserve"> floor offices) it is even more striking that the weekend energy consumption is higher in this space.</w:t>
      </w:r>
    </w:p>
    <w:p w:rsidR="00C36A8F" w:rsidRDefault="00C36A8F" w:rsidP="00A403D4">
      <w:r>
        <w:t>Another obvious trend is that both weekend and weekday consumption increase from around 17</w:t>
      </w:r>
      <w:r w:rsidRPr="00C36A8F">
        <w:rPr>
          <w:vertAlign w:val="superscript"/>
        </w:rPr>
        <w:t>th</w:t>
      </w:r>
      <w:r>
        <w:t xml:space="preserve"> September after a period of relative stability throughout August.</w:t>
      </w:r>
    </w:p>
    <w:p w:rsidR="00C36A8F" w:rsidRDefault="00C36A8F" w:rsidP="00C36A8F">
      <w:r>
        <w:t>The average daily energy cost of the first 15 days was £22.32, the average of the last 15 days was £24.04, an increase of 7.7%.</w:t>
      </w:r>
    </w:p>
    <w:p w:rsidR="0072216B" w:rsidRDefault="0072216B" w:rsidP="00C36A8F"/>
    <w:p w:rsidR="00437B05" w:rsidRDefault="00437B05" w:rsidP="00437B05">
      <w:pPr>
        <w:pStyle w:val="Heading1"/>
      </w:pPr>
      <w:r>
        <w:t>Energy consumption per person results</w:t>
      </w:r>
    </w:p>
    <w:p w:rsidR="00437B05" w:rsidRDefault="00437B05" w:rsidP="00437B05">
      <w:pPr>
        <w:pStyle w:val="Heading2"/>
      </w:pPr>
      <w:r>
        <w:t>2</w:t>
      </w:r>
      <w:r w:rsidRPr="00437B05">
        <w:rPr>
          <w:vertAlign w:val="superscript"/>
        </w:rPr>
        <w:t>nd</w:t>
      </w:r>
      <w:r>
        <w:t xml:space="preserve"> floor Labs</w:t>
      </w:r>
    </w:p>
    <w:p w:rsidR="00437B05" w:rsidRPr="00437B05" w:rsidRDefault="00437B05" w:rsidP="00437B05">
      <w:r>
        <w:rPr>
          <w:noProof/>
          <w:lang w:eastAsia="en-GB"/>
        </w:rPr>
        <w:drawing>
          <wp:inline distT="0" distB="0" distL="0" distR="0" wp14:anchorId="250DA4A3" wp14:editId="013ECFB1">
            <wp:extent cx="62484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7B05" w:rsidRDefault="00437B05">
      <w:r>
        <w:t>The energy cost per person in the 2</w:t>
      </w:r>
      <w:r w:rsidRPr="00437B05">
        <w:rPr>
          <w:vertAlign w:val="superscript"/>
        </w:rPr>
        <w:t>nd</w:t>
      </w:r>
      <w:r>
        <w:t xml:space="preserve"> floor labs shows an overall downward trend over the period, with a fairly noticeable change in late August when the peaks become substantially lower (troughs remaining around the same level). </w:t>
      </w:r>
    </w:p>
    <w:p w:rsidR="00437B05" w:rsidRDefault="00437B05" w:rsidP="00437B05">
      <w:r>
        <w:t>The average daily energy cost per person of the first 15 days was £0.84, the average of the last 15 days was £0.70, a decrease of 16%.</w:t>
      </w:r>
    </w:p>
    <w:p w:rsidR="00437B05" w:rsidRDefault="00437B05" w:rsidP="00437B05">
      <w:pPr>
        <w:pStyle w:val="Heading2"/>
      </w:pPr>
      <w:r>
        <w:lastRenderedPageBreak/>
        <w:t>3</w:t>
      </w:r>
      <w:r w:rsidRPr="00437B05">
        <w:rPr>
          <w:vertAlign w:val="superscript"/>
        </w:rPr>
        <w:t>rd</w:t>
      </w:r>
      <w:r>
        <w:t xml:space="preserve"> floor labs</w:t>
      </w:r>
    </w:p>
    <w:p w:rsidR="00437B05" w:rsidRDefault="00437B05" w:rsidP="00437B05">
      <w:r>
        <w:rPr>
          <w:noProof/>
          <w:lang w:eastAsia="en-GB"/>
        </w:rPr>
        <w:drawing>
          <wp:inline distT="0" distB="0" distL="0" distR="0" wp14:anchorId="2C52D128" wp14:editId="1BC4314B">
            <wp:extent cx="6219825" cy="27432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7B05" w:rsidRDefault="00437B05" w:rsidP="00437B05">
      <w:r>
        <w:t>The</w:t>
      </w:r>
      <w:r w:rsidR="00690753">
        <w:t xml:space="preserve"> energy cost per person in the 3</w:t>
      </w:r>
      <w:r w:rsidRPr="00437B05">
        <w:rPr>
          <w:vertAlign w:val="superscript"/>
        </w:rPr>
        <w:t>nd</w:t>
      </w:r>
      <w:r>
        <w:t xml:space="preserve"> floor labs shows an overall downward trend over the period, with a relatively subtle change in late August when both the peaks and troughs become lower.</w:t>
      </w:r>
    </w:p>
    <w:p w:rsidR="00437B05" w:rsidRDefault="00437B05" w:rsidP="00437B05">
      <w:r>
        <w:t>The average daily energy cost per person of the first 15 days was £0.62, the average of the last 15 days was £0.47, a decrease of 24%.</w:t>
      </w:r>
    </w:p>
    <w:p w:rsidR="00437B05" w:rsidRDefault="00437B05" w:rsidP="00437B05">
      <w:pPr>
        <w:pStyle w:val="Heading2"/>
      </w:pPr>
      <w:r>
        <w:t>2</w:t>
      </w:r>
      <w:r w:rsidRPr="00437B05">
        <w:rPr>
          <w:vertAlign w:val="superscript"/>
        </w:rPr>
        <w:t>nd</w:t>
      </w:r>
      <w:r>
        <w:t xml:space="preserve"> floor offices</w:t>
      </w:r>
    </w:p>
    <w:p w:rsidR="00437B05" w:rsidRPr="00437B05" w:rsidRDefault="00434C4B" w:rsidP="00437B05">
      <w:r>
        <w:rPr>
          <w:noProof/>
          <w:lang w:eastAsia="en-GB"/>
        </w:rPr>
        <w:drawing>
          <wp:inline distT="0" distB="0" distL="0" distR="0" wp14:anchorId="188B8E8F" wp14:editId="478999FE">
            <wp:extent cx="6181725" cy="27432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B05" w:rsidRDefault="00437B05" w:rsidP="00437B05">
      <w:r>
        <w:t>The energy cost per person in the 2</w:t>
      </w:r>
      <w:r w:rsidRPr="00437B05">
        <w:rPr>
          <w:vertAlign w:val="superscript"/>
        </w:rPr>
        <w:t>nd</w:t>
      </w:r>
      <w:r>
        <w:t xml:space="preserve"> floor </w:t>
      </w:r>
      <w:r w:rsidR="00690753">
        <w:t>offices</w:t>
      </w:r>
      <w:r>
        <w:t xml:space="preserve"> shows an overall downward trend over the period, with a noticeable change in late August when both the peaks and troughs become lower.</w:t>
      </w:r>
    </w:p>
    <w:p w:rsidR="00437B05" w:rsidRDefault="00437B05" w:rsidP="00437B05">
      <w:r>
        <w:t>The average daily energy cost per person of the first 15 days was £0.56, the average of the last 15 days was £0.45, a decrease of 20%.</w:t>
      </w:r>
    </w:p>
    <w:p w:rsidR="00437B05" w:rsidRDefault="00434C4B" w:rsidP="00434C4B">
      <w:pPr>
        <w:pStyle w:val="Heading2"/>
      </w:pPr>
      <w:r>
        <w:lastRenderedPageBreak/>
        <w:t>3</w:t>
      </w:r>
      <w:r w:rsidRPr="00434C4B">
        <w:rPr>
          <w:vertAlign w:val="superscript"/>
        </w:rPr>
        <w:t>rd</w:t>
      </w:r>
      <w:r>
        <w:t xml:space="preserve"> floor offices</w:t>
      </w:r>
    </w:p>
    <w:p w:rsidR="00434C4B" w:rsidRPr="00434C4B" w:rsidRDefault="00434C4B" w:rsidP="00434C4B">
      <w:r>
        <w:rPr>
          <w:noProof/>
          <w:lang w:eastAsia="en-GB"/>
        </w:rPr>
        <w:drawing>
          <wp:inline distT="0" distB="0" distL="0" distR="0" wp14:anchorId="78B2DAE6" wp14:editId="7C88482F">
            <wp:extent cx="6162675" cy="2743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0753" w:rsidRDefault="00690753" w:rsidP="00690753">
      <w:r>
        <w:t>The energy cost per person in the 3</w:t>
      </w:r>
      <w:r w:rsidRPr="00690753">
        <w:rPr>
          <w:vertAlign w:val="superscript"/>
        </w:rPr>
        <w:t>rd</w:t>
      </w:r>
      <w:r>
        <w:t xml:space="preserve"> floor offices shows an overall slight downward trend over the period, with the lowest readings in early September but a rising trend in mid-late September.</w:t>
      </w:r>
    </w:p>
    <w:p w:rsidR="00306766" w:rsidRDefault="00690753">
      <w:r>
        <w:t>The average daily energy cost per person of the first 15 days was £0.58, the average of the last 15 days was £0.51, a decrease of 12%.</w:t>
      </w:r>
    </w:p>
    <w:p w:rsidR="00306766" w:rsidRDefault="00306766"/>
    <w:p w:rsidR="00306766" w:rsidRDefault="00306766" w:rsidP="00306766">
      <w:pPr>
        <w:pStyle w:val="Heading2"/>
      </w:pPr>
      <w:r>
        <w:t>Combined offices and labs per floor</w:t>
      </w:r>
    </w:p>
    <w:p w:rsidR="00E13178" w:rsidRDefault="00306766" w:rsidP="00306766">
      <w:r>
        <w:t>Combined labs and offices energy cost per person per day on the 2</w:t>
      </w:r>
      <w:r w:rsidRPr="00306766">
        <w:rPr>
          <w:vertAlign w:val="superscript"/>
        </w:rPr>
        <w:t>nd</w:t>
      </w:r>
      <w:r>
        <w:t xml:space="preserve"> floor dropped by 17.9% (£1.40 to £1.15), while on the 3</w:t>
      </w:r>
      <w:r w:rsidRPr="00306766">
        <w:rPr>
          <w:vertAlign w:val="superscript"/>
        </w:rPr>
        <w:t>rd</w:t>
      </w:r>
      <w:r>
        <w:t xml:space="preserve"> floor the drop was 18.4% (£1.20 to £0.98).</w:t>
      </w:r>
    </w:p>
    <w:p w:rsidR="00306766" w:rsidRDefault="00306766" w:rsidP="00306766">
      <w:pPr>
        <w:rPr>
          <w:color w:val="262626" w:themeColor="text1" w:themeTint="D9"/>
          <w:sz w:val="36"/>
          <w:szCs w:val="32"/>
        </w:rPr>
      </w:pPr>
    </w:p>
    <w:p w:rsidR="00306766" w:rsidRDefault="00306766">
      <w:pPr>
        <w:rPr>
          <w:rFonts w:asciiTheme="majorHAnsi" w:eastAsiaTheme="majorEastAsia" w:hAnsiTheme="majorHAnsi" w:cstheme="majorBidi"/>
          <w:color w:val="262626" w:themeColor="text1" w:themeTint="D9"/>
          <w:sz w:val="36"/>
          <w:szCs w:val="32"/>
        </w:rPr>
      </w:pPr>
      <w:r>
        <w:br w:type="page"/>
      </w:r>
    </w:p>
    <w:p w:rsidR="00230E32" w:rsidRDefault="00230E32" w:rsidP="00230E32">
      <w:pPr>
        <w:pStyle w:val="Heading1"/>
      </w:pPr>
      <w:r>
        <w:lastRenderedPageBreak/>
        <w:t>Discussion</w:t>
      </w:r>
    </w:p>
    <w:p w:rsidR="00E13178" w:rsidRDefault="00E13178" w:rsidP="00E13178">
      <w:pPr>
        <w:pStyle w:val="Heading2"/>
      </w:pPr>
      <w:r>
        <w:t>Medium term impact of engagement</w:t>
      </w:r>
    </w:p>
    <w:p w:rsidR="00E13178" w:rsidRPr="0072216B" w:rsidRDefault="00E13178" w:rsidP="00E13178">
      <w:r>
        <w:t>Taking the whole monitoring period into account, the below table summarises the findings when the first 15 days are compared to the last 15 days.</w:t>
      </w:r>
    </w:p>
    <w:tbl>
      <w:tblPr>
        <w:tblStyle w:val="TableGrid"/>
        <w:tblW w:w="0" w:type="auto"/>
        <w:tblLook w:val="04A0" w:firstRow="1" w:lastRow="0" w:firstColumn="1" w:lastColumn="0" w:noHBand="0" w:noVBand="1"/>
      </w:tblPr>
      <w:tblGrid>
        <w:gridCol w:w="4868"/>
        <w:gridCol w:w="4868"/>
      </w:tblGrid>
      <w:tr w:rsidR="00E13178" w:rsidTr="00FF28E0">
        <w:tc>
          <w:tcPr>
            <w:tcW w:w="4868" w:type="dxa"/>
          </w:tcPr>
          <w:p w:rsidR="00E13178" w:rsidRPr="00213CC7" w:rsidRDefault="00E13178" w:rsidP="00FF28E0">
            <w:pPr>
              <w:rPr>
                <w:b/>
              </w:rPr>
            </w:pPr>
            <w:r w:rsidRPr="00213CC7">
              <w:rPr>
                <w:b/>
              </w:rPr>
              <w:t>Location</w:t>
            </w:r>
          </w:p>
        </w:tc>
        <w:tc>
          <w:tcPr>
            <w:tcW w:w="4868" w:type="dxa"/>
          </w:tcPr>
          <w:p w:rsidR="00E13178" w:rsidRPr="00213CC7" w:rsidRDefault="00E13178" w:rsidP="00FF28E0">
            <w:pPr>
              <w:rPr>
                <w:b/>
              </w:rPr>
            </w:pPr>
            <w:r w:rsidRPr="00213CC7">
              <w:rPr>
                <w:b/>
              </w:rPr>
              <w:t>% change in average daily energy cost</w:t>
            </w:r>
            <w:r w:rsidR="00690753">
              <w:rPr>
                <w:b/>
              </w:rPr>
              <w:t xml:space="preserve"> per person</w:t>
            </w:r>
          </w:p>
        </w:tc>
      </w:tr>
      <w:tr w:rsidR="00E13178" w:rsidTr="00FF28E0">
        <w:tc>
          <w:tcPr>
            <w:tcW w:w="4868" w:type="dxa"/>
          </w:tcPr>
          <w:p w:rsidR="00E13178" w:rsidRDefault="00E13178" w:rsidP="00FF28E0">
            <w:r>
              <w:t>2</w:t>
            </w:r>
            <w:r w:rsidRPr="00213CC7">
              <w:rPr>
                <w:vertAlign w:val="superscript"/>
              </w:rPr>
              <w:t>nd</w:t>
            </w:r>
            <w:r>
              <w:t xml:space="preserve"> floor lab</w:t>
            </w:r>
          </w:p>
        </w:tc>
        <w:tc>
          <w:tcPr>
            <w:tcW w:w="4868" w:type="dxa"/>
          </w:tcPr>
          <w:p w:rsidR="00E13178" w:rsidRDefault="00690753" w:rsidP="00FF28E0">
            <w:r>
              <w:t>-16</w:t>
            </w:r>
            <w:r w:rsidR="00E13178">
              <w:t>%</w:t>
            </w:r>
          </w:p>
        </w:tc>
      </w:tr>
      <w:tr w:rsidR="00E13178" w:rsidTr="00FF28E0">
        <w:tc>
          <w:tcPr>
            <w:tcW w:w="4868" w:type="dxa"/>
          </w:tcPr>
          <w:p w:rsidR="00E13178" w:rsidRDefault="00E13178" w:rsidP="00FF28E0">
            <w:r>
              <w:t>3</w:t>
            </w:r>
            <w:r w:rsidRPr="00213CC7">
              <w:rPr>
                <w:vertAlign w:val="superscript"/>
              </w:rPr>
              <w:t>rd</w:t>
            </w:r>
            <w:r>
              <w:t xml:space="preserve"> floor lab</w:t>
            </w:r>
          </w:p>
        </w:tc>
        <w:tc>
          <w:tcPr>
            <w:tcW w:w="4868" w:type="dxa"/>
          </w:tcPr>
          <w:p w:rsidR="00E13178" w:rsidRDefault="00E13178" w:rsidP="00690753">
            <w:r>
              <w:t>-</w:t>
            </w:r>
            <w:r w:rsidR="00690753">
              <w:t>24</w:t>
            </w:r>
            <w:r>
              <w:t>%</w:t>
            </w:r>
          </w:p>
        </w:tc>
      </w:tr>
      <w:tr w:rsidR="00E13178" w:rsidTr="00FF28E0">
        <w:tc>
          <w:tcPr>
            <w:tcW w:w="4868" w:type="dxa"/>
          </w:tcPr>
          <w:p w:rsidR="00E13178" w:rsidRDefault="00E13178" w:rsidP="00FF28E0">
            <w:r>
              <w:t>2</w:t>
            </w:r>
            <w:r w:rsidRPr="00213CC7">
              <w:rPr>
                <w:vertAlign w:val="superscript"/>
              </w:rPr>
              <w:t>nd</w:t>
            </w:r>
            <w:r>
              <w:t xml:space="preserve"> floor offices</w:t>
            </w:r>
          </w:p>
        </w:tc>
        <w:tc>
          <w:tcPr>
            <w:tcW w:w="4868" w:type="dxa"/>
          </w:tcPr>
          <w:p w:rsidR="00E13178" w:rsidRDefault="00E13178" w:rsidP="00690753">
            <w:r>
              <w:t>-</w:t>
            </w:r>
            <w:r w:rsidR="00690753">
              <w:t>20</w:t>
            </w:r>
            <w:r>
              <w:t>%</w:t>
            </w:r>
          </w:p>
        </w:tc>
      </w:tr>
      <w:tr w:rsidR="00E13178" w:rsidTr="00FF28E0">
        <w:tc>
          <w:tcPr>
            <w:tcW w:w="4868" w:type="dxa"/>
          </w:tcPr>
          <w:p w:rsidR="00E13178" w:rsidRDefault="00E13178" w:rsidP="00FF28E0">
            <w:r>
              <w:t>3</w:t>
            </w:r>
            <w:r w:rsidRPr="00213CC7">
              <w:rPr>
                <w:vertAlign w:val="superscript"/>
              </w:rPr>
              <w:t>rd</w:t>
            </w:r>
            <w:r>
              <w:t xml:space="preserve"> floor offices</w:t>
            </w:r>
          </w:p>
        </w:tc>
        <w:tc>
          <w:tcPr>
            <w:tcW w:w="4868" w:type="dxa"/>
          </w:tcPr>
          <w:p w:rsidR="00E13178" w:rsidRDefault="00690753" w:rsidP="00FF28E0">
            <w:r>
              <w:t>-12</w:t>
            </w:r>
            <w:r w:rsidR="00E13178">
              <w:t>%</w:t>
            </w:r>
          </w:p>
        </w:tc>
      </w:tr>
    </w:tbl>
    <w:p w:rsidR="00E13178" w:rsidRPr="00E13178" w:rsidRDefault="00E13178" w:rsidP="00E13178">
      <w:pPr>
        <w:rPr>
          <w:i/>
        </w:rPr>
      </w:pPr>
      <w:r>
        <w:rPr>
          <w:i/>
        </w:rPr>
        <w:t>Data from beginning and end of monitoring period</w:t>
      </w:r>
    </w:p>
    <w:p w:rsidR="00E13178" w:rsidRDefault="00E13178" w:rsidP="00E13178">
      <w:pPr>
        <w:pStyle w:val="Heading2"/>
      </w:pPr>
      <w:r>
        <w:t>Short term impact of engagement</w:t>
      </w:r>
    </w:p>
    <w:p w:rsidR="00E13178" w:rsidRDefault="00E13178" w:rsidP="00E13178">
      <w:r>
        <w:t>The average daily energy cost for the 15 days prior to placement of posters on 31</w:t>
      </w:r>
      <w:r w:rsidRPr="00213CC7">
        <w:rPr>
          <w:vertAlign w:val="superscript"/>
        </w:rPr>
        <w:t>st</w:t>
      </w:r>
      <w:r>
        <w:t xml:space="preserve"> July, compared with the 15 days after the placement of posters shows the below impact:</w:t>
      </w:r>
    </w:p>
    <w:tbl>
      <w:tblPr>
        <w:tblStyle w:val="TableGrid"/>
        <w:tblW w:w="0" w:type="auto"/>
        <w:tblLook w:val="04A0" w:firstRow="1" w:lastRow="0" w:firstColumn="1" w:lastColumn="0" w:noHBand="0" w:noVBand="1"/>
      </w:tblPr>
      <w:tblGrid>
        <w:gridCol w:w="4868"/>
        <w:gridCol w:w="4868"/>
      </w:tblGrid>
      <w:tr w:rsidR="00E13178" w:rsidTr="00FF28E0">
        <w:tc>
          <w:tcPr>
            <w:tcW w:w="4868" w:type="dxa"/>
          </w:tcPr>
          <w:p w:rsidR="00E13178" w:rsidRPr="00213CC7" w:rsidRDefault="00E13178" w:rsidP="00FF28E0">
            <w:pPr>
              <w:rPr>
                <w:b/>
              </w:rPr>
            </w:pPr>
            <w:r w:rsidRPr="00213CC7">
              <w:rPr>
                <w:b/>
              </w:rPr>
              <w:t>Location</w:t>
            </w:r>
          </w:p>
        </w:tc>
        <w:tc>
          <w:tcPr>
            <w:tcW w:w="4868" w:type="dxa"/>
          </w:tcPr>
          <w:p w:rsidR="00E13178" w:rsidRPr="00213CC7" w:rsidRDefault="00E13178" w:rsidP="00FF28E0">
            <w:pPr>
              <w:rPr>
                <w:b/>
              </w:rPr>
            </w:pPr>
            <w:r w:rsidRPr="00213CC7">
              <w:rPr>
                <w:b/>
              </w:rPr>
              <w:t>% change in average daily energy cost</w:t>
            </w:r>
          </w:p>
        </w:tc>
      </w:tr>
      <w:tr w:rsidR="00E13178" w:rsidTr="00FF28E0">
        <w:tc>
          <w:tcPr>
            <w:tcW w:w="4868" w:type="dxa"/>
          </w:tcPr>
          <w:p w:rsidR="00E13178" w:rsidRDefault="00E13178" w:rsidP="00FF28E0">
            <w:r>
              <w:t>2</w:t>
            </w:r>
            <w:r w:rsidRPr="00213CC7">
              <w:rPr>
                <w:vertAlign w:val="superscript"/>
              </w:rPr>
              <w:t>nd</w:t>
            </w:r>
            <w:r>
              <w:t xml:space="preserve"> floor lab</w:t>
            </w:r>
          </w:p>
        </w:tc>
        <w:tc>
          <w:tcPr>
            <w:tcW w:w="4868" w:type="dxa"/>
          </w:tcPr>
          <w:p w:rsidR="00E13178" w:rsidRDefault="00690753" w:rsidP="00FF28E0">
            <w:r>
              <w:t>-2</w:t>
            </w:r>
            <w:r w:rsidR="00E13178">
              <w:t>%</w:t>
            </w:r>
          </w:p>
        </w:tc>
      </w:tr>
      <w:tr w:rsidR="00E13178" w:rsidTr="00FF28E0">
        <w:tc>
          <w:tcPr>
            <w:tcW w:w="4868" w:type="dxa"/>
          </w:tcPr>
          <w:p w:rsidR="00E13178" w:rsidRDefault="00E13178" w:rsidP="00FF28E0">
            <w:r>
              <w:t>3</w:t>
            </w:r>
            <w:r w:rsidRPr="00213CC7">
              <w:rPr>
                <w:vertAlign w:val="superscript"/>
              </w:rPr>
              <w:t>rd</w:t>
            </w:r>
            <w:r>
              <w:t xml:space="preserve"> floor lab</w:t>
            </w:r>
          </w:p>
        </w:tc>
        <w:tc>
          <w:tcPr>
            <w:tcW w:w="4868" w:type="dxa"/>
          </w:tcPr>
          <w:p w:rsidR="00E13178" w:rsidRDefault="00690753" w:rsidP="00FF28E0">
            <w:r>
              <w:t>-5</w:t>
            </w:r>
            <w:r w:rsidR="00E13178">
              <w:t>%</w:t>
            </w:r>
          </w:p>
        </w:tc>
      </w:tr>
      <w:tr w:rsidR="00E13178" w:rsidTr="00FF28E0">
        <w:tc>
          <w:tcPr>
            <w:tcW w:w="4868" w:type="dxa"/>
          </w:tcPr>
          <w:p w:rsidR="00E13178" w:rsidRDefault="00E13178" w:rsidP="00FF28E0">
            <w:r>
              <w:t>2</w:t>
            </w:r>
            <w:r w:rsidRPr="00213CC7">
              <w:rPr>
                <w:vertAlign w:val="superscript"/>
              </w:rPr>
              <w:t>nd</w:t>
            </w:r>
            <w:r>
              <w:t xml:space="preserve"> floor offices</w:t>
            </w:r>
          </w:p>
        </w:tc>
        <w:tc>
          <w:tcPr>
            <w:tcW w:w="4868" w:type="dxa"/>
          </w:tcPr>
          <w:p w:rsidR="00E13178" w:rsidRDefault="00E13178" w:rsidP="00690753">
            <w:r>
              <w:t>-</w:t>
            </w:r>
            <w:r w:rsidR="00690753">
              <w:t>6</w:t>
            </w:r>
            <w:r>
              <w:t>%</w:t>
            </w:r>
          </w:p>
        </w:tc>
      </w:tr>
      <w:tr w:rsidR="00E13178" w:rsidTr="00FF28E0">
        <w:tc>
          <w:tcPr>
            <w:tcW w:w="4868" w:type="dxa"/>
          </w:tcPr>
          <w:p w:rsidR="00E13178" w:rsidRDefault="00E13178" w:rsidP="00FF28E0">
            <w:r>
              <w:t>3</w:t>
            </w:r>
            <w:r w:rsidRPr="00213CC7">
              <w:rPr>
                <w:vertAlign w:val="superscript"/>
              </w:rPr>
              <w:t>rd</w:t>
            </w:r>
            <w:r>
              <w:t xml:space="preserve"> floor offices</w:t>
            </w:r>
          </w:p>
        </w:tc>
        <w:tc>
          <w:tcPr>
            <w:tcW w:w="4868" w:type="dxa"/>
          </w:tcPr>
          <w:p w:rsidR="00E13178" w:rsidRDefault="00690753" w:rsidP="00FF28E0">
            <w:r>
              <w:t>-3</w:t>
            </w:r>
            <w:r w:rsidR="00E13178">
              <w:t>%</w:t>
            </w:r>
          </w:p>
        </w:tc>
      </w:tr>
    </w:tbl>
    <w:p w:rsidR="00E13178" w:rsidRPr="00E13178" w:rsidRDefault="00E13178" w:rsidP="00E13178">
      <w:pPr>
        <w:rPr>
          <w:i/>
        </w:rPr>
      </w:pPr>
      <w:r>
        <w:t xml:space="preserve"> </w:t>
      </w:r>
      <w:r>
        <w:rPr>
          <w:i/>
        </w:rPr>
        <w:t>Data from 15 days before and after placement of posters</w:t>
      </w:r>
    </w:p>
    <w:p w:rsidR="00E13178" w:rsidRDefault="00E13178" w:rsidP="00E13178">
      <w:r>
        <w:t>The average daily energy cost for the 15 days prior to face to face engagement presentations on 22</w:t>
      </w:r>
      <w:r w:rsidRPr="00213CC7">
        <w:rPr>
          <w:vertAlign w:val="superscript"/>
        </w:rPr>
        <w:t>nd</w:t>
      </w:r>
      <w:r>
        <w:t xml:space="preserve"> and 23</w:t>
      </w:r>
      <w:r w:rsidRPr="00213CC7">
        <w:rPr>
          <w:vertAlign w:val="superscript"/>
        </w:rPr>
        <w:t>rd</w:t>
      </w:r>
      <w:r>
        <w:t xml:space="preserve"> August, compared with the 15 days after the presentations shows the below impact:</w:t>
      </w:r>
    </w:p>
    <w:tbl>
      <w:tblPr>
        <w:tblStyle w:val="TableGrid"/>
        <w:tblW w:w="0" w:type="auto"/>
        <w:tblLook w:val="04A0" w:firstRow="1" w:lastRow="0" w:firstColumn="1" w:lastColumn="0" w:noHBand="0" w:noVBand="1"/>
      </w:tblPr>
      <w:tblGrid>
        <w:gridCol w:w="4868"/>
        <w:gridCol w:w="4868"/>
      </w:tblGrid>
      <w:tr w:rsidR="00E13178" w:rsidTr="00FF28E0">
        <w:tc>
          <w:tcPr>
            <w:tcW w:w="4868" w:type="dxa"/>
          </w:tcPr>
          <w:p w:rsidR="00E13178" w:rsidRPr="00213CC7" w:rsidRDefault="00E13178" w:rsidP="00FF28E0">
            <w:pPr>
              <w:rPr>
                <w:b/>
              </w:rPr>
            </w:pPr>
            <w:r w:rsidRPr="00213CC7">
              <w:rPr>
                <w:b/>
              </w:rPr>
              <w:t>Location</w:t>
            </w:r>
          </w:p>
        </w:tc>
        <w:tc>
          <w:tcPr>
            <w:tcW w:w="4868" w:type="dxa"/>
          </w:tcPr>
          <w:p w:rsidR="00E13178" w:rsidRPr="00213CC7" w:rsidRDefault="00E13178" w:rsidP="00FF28E0">
            <w:pPr>
              <w:rPr>
                <w:b/>
              </w:rPr>
            </w:pPr>
            <w:r w:rsidRPr="00213CC7">
              <w:rPr>
                <w:b/>
              </w:rPr>
              <w:t>% change in average daily energy cost</w:t>
            </w:r>
          </w:p>
        </w:tc>
      </w:tr>
      <w:tr w:rsidR="00E13178" w:rsidTr="00FF28E0">
        <w:tc>
          <w:tcPr>
            <w:tcW w:w="4868" w:type="dxa"/>
          </w:tcPr>
          <w:p w:rsidR="00E13178" w:rsidRDefault="00E13178" w:rsidP="00FF28E0">
            <w:r>
              <w:t>2</w:t>
            </w:r>
            <w:r w:rsidRPr="00213CC7">
              <w:rPr>
                <w:vertAlign w:val="superscript"/>
              </w:rPr>
              <w:t>nd</w:t>
            </w:r>
            <w:r>
              <w:t xml:space="preserve"> floor lab</w:t>
            </w:r>
          </w:p>
        </w:tc>
        <w:tc>
          <w:tcPr>
            <w:tcW w:w="4868" w:type="dxa"/>
          </w:tcPr>
          <w:p w:rsidR="00E13178" w:rsidRDefault="00E13178" w:rsidP="00FF28E0">
            <w:r>
              <w:t>-</w:t>
            </w:r>
            <w:r w:rsidR="00690753">
              <w:t>1</w:t>
            </w:r>
            <w:r>
              <w:t>5%</w:t>
            </w:r>
          </w:p>
        </w:tc>
      </w:tr>
      <w:tr w:rsidR="00E13178" w:rsidTr="00FF28E0">
        <w:tc>
          <w:tcPr>
            <w:tcW w:w="4868" w:type="dxa"/>
          </w:tcPr>
          <w:p w:rsidR="00E13178" w:rsidRDefault="00E13178" w:rsidP="00FF28E0">
            <w:r>
              <w:t>3</w:t>
            </w:r>
            <w:r w:rsidRPr="00213CC7">
              <w:rPr>
                <w:vertAlign w:val="superscript"/>
              </w:rPr>
              <w:t>rd</w:t>
            </w:r>
            <w:r>
              <w:t xml:space="preserve"> floor lab</w:t>
            </w:r>
          </w:p>
        </w:tc>
        <w:tc>
          <w:tcPr>
            <w:tcW w:w="4868" w:type="dxa"/>
          </w:tcPr>
          <w:p w:rsidR="00E13178" w:rsidRDefault="00E13178" w:rsidP="00690753">
            <w:r>
              <w:t>-</w:t>
            </w:r>
            <w:r w:rsidR="00690753">
              <w:t>2</w:t>
            </w:r>
            <w:r>
              <w:t>1%</w:t>
            </w:r>
          </w:p>
        </w:tc>
      </w:tr>
      <w:tr w:rsidR="00E13178" w:rsidTr="00FF28E0">
        <w:tc>
          <w:tcPr>
            <w:tcW w:w="4868" w:type="dxa"/>
          </w:tcPr>
          <w:p w:rsidR="00E13178" w:rsidRDefault="00E13178" w:rsidP="00FF28E0">
            <w:r>
              <w:t>2</w:t>
            </w:r>
            <w:r w:rsidRPr="00213CC7">
              <w:rPr>
                <w:vertAlign w:val="superscript"/>
              </w:rPr>
              <w:t>nd</w:t>
            </w:r>
            <w:r>
              <w:t xml:space="preserve"> floor offices</w:t>
            </w:r>
          </w:p>
        </w:tc>
        <w:tc>
          <w:tcPr>
            <w:tcW w:w="4868" w:type="dxa"/>
          </w:tcPr>
          <w:p w:rsidR="00E13178" w:rsidRDefault="00690753" w:rsidP="00FF28E0">
            <w:r>
              <w:t>-16</w:t>
            </w:r>
            <w:r w:rsidR="00E13178">
              <w:t>%</w:t>
            </w:r>
          </w:p>
        </w:tc>
      </w:tr>
      <w:tr w:rsidR="00E13178" w:rsidTr="00FF28E0">
        <w:tc>
          <w:tcPr>
            <w:tcW w:w="4868" w:type="dxa"/>
          </w:tcPr>
          <w:p w:rsidR="00E13178" w:rsidRDefault="00E13178" w:rsidP="00FF28E0">
            <w:r>
              <w:t>3</w:t>
            </w:r>
            <w:r w:rsidRPr="00213CC7">
              <w:rPr>
                <w:vertAlign w:val="superscript"/>
              </w:rPr>
              <w:t>rd</w:t>
            </w:r>
            <w:r>
              <w:t xml:space="preserve"> floor offices</w:t>
            </w:r>
          </w:p>
        </w:tc>
        <w:tc>
          <w:tcPr>
            <w:tcW w:w="4868" w:type="dxa"/>
          </w:tcPr>
          <w:p w:rsidR="00E13178" w:rsidRDefault="00690753" w:rsidP="00FF28E0">
            <w:r>
              <w:t>-8</w:t>
            </w:r>
            <w:r w:rsidR="00E13178">
              <w:t>%</w:t>
            </w:r>
          </w:p>
        </w:tc>
      </w:tr>
    </w:tbl>
    <w:p w:rsidR="00E13178" w:rsidRPr="00E13178" w:rsidRDefault="00E13178" w:rsidP="00E13178">
      <w:pPr>
        <w:rPr>
          <w:i/>
        </w:rPr>
      </w:pPr>
      <w:r>
        <w:rPr>
          <w:i/>
        </w:rPr>
        <w:t>Data from 15 days before and after energy saving practices presentation</w:t>
      </w:r>
    </w:p>
    <w:p w:rsidR="00E13178" w:rsidRPr="00A403D4" w:rsidRDefault="00E13178" w:rsidP="00E13178"/>
    <w:p w:rsidR="00E13178" w:rsidRDefault="00E13178" w:rsidP="00E13178">
      <w:pPr>
        <w:pStyle w:val="Heading2"/>
      </w:pPr>
      <w:r>
        <w:t>Inter-site comparison</w:t>
      </w:r>
    </w:p>
    <w:p w:rsidR="00E13178" w:rsidRDefault="00E13178" w:rsidP="00E13178">
      <w:r>
        <w:t>The 2</w:t>
      </w:r>
      <w:r w:rsidRPr="00536E44">
        <w:rPr>
          <w:vertAlign w:val="superscript"/>
        </w:rPr>
        <w:t>nd</w:t>
      </w:r>
      <w:r>
        <w:t xml:space="preserve"> floor labs are easily identified as the highest energy consumer, with weekdays often over £40/day and weekends almost always over £30/day.</w:t>
      </w:r>
    </w:p>
    <w:p w:rsidR="00E13178" w:rsidRDefault="00E13178" w:rsidP="00E13178">
      <w:r>
        <w:t xml:space="preserve">The </w:t>
      </w:r>
      <w:r w:rsidR="00690753">
        <w:t xml:space="preserve">energy consumption at the </w:t>
      </w:r>
      <w:r>
        <w:t xml:space="preserve">other sites </w:t>
      </w:r>
      <w:r w:rsidR="00690753">
        <w:t xml:space="preserve">is </w:t>
      </w:r>
      <w:r>
        <w:t>quite comparable.</w:t>
      </w:r>
    </w:p>
    <w:p w:rsidR="00E13178" w:rsidRDefault="00E13178" w:rsidP="00E13178">
      <w:r>
        <w:t>The 3</w:t>
      </w:r>
      <w:r w:rsidRPr="00536E44">
        <w:rPr>
          <w:vertAlign w:val="superscript"/>
        </w:rPr>
        <w:t>rd</w:t>
      </w:r>
      <w:r>
        <w:t xml:space="preserve"> floor lab energy consumption during weekdays is in the high-£20s/day, but drops significantly over weekends to around £15/day.</w:t>
      </w:r>
    </w:p>
    <w:p w:rsidR="00E13178" w:rsidRPr="00536E44" w:rsidRDefault="00E13178" w:rsidP="00E13178">
      <w:r>
        <w:t>The offices both have lower weekday peaks, at around mid-£20s/day, but also higher weekend troughs in the high ‘teens of £/day.</w:t>
      </w:r>
    </w:p>
    <w:p w:rsidR="00E13178" w:rsidRPr="00E35D11" w:rsidRDefault="00E13178" w:rsidP="00E13178"/>
    <w:p w:rsidR="0072216B" w:rsidRDefault="0072216B" w:rsidP="0072216B">
      <w:pPr>
        <w:pStyle w:val="Heading2"/>
      </w:pPr>
      <w:r>
        <w:lastRenderedPageBreak/>
        <w:t>Offices vs labs</w:t>
      </w:r>
    </w:p>
    <w:p w:rsidR="0072216B" w:rsidRPr="003961C5" w:rsidRDefault="0072216B" w:rsidP="0072216B">
      <w:r>
        <w:t>Given the sometimes 24/7 nature of life-science research it might have been expected that it would be easier to switch off office equipment over weekends and evenings, giving lower troughs for the offices than for the labs. However this seems not to be the case with the 3</w:t>
      </w:r>
      <w:r w:rsidRPr="00536E44">
        <w:rPr>
          <w:vertAlign w:val="superscript"/>
        </w:rPr>
        <w:t>rd</w:t>
      </w:r>
      <w:r>
        <w:t xml:space="preserve"> floor lab at least, which achieves lower weekend troughs than the associated 3</w:t>
      </w:r>
      <w:r w:rsidRPr="00536E44">
        <w:rPr>
          <w:vertAlign w:val="superscript"/>
        </w:rPr>
        <w:t>rd</w:t>
      </w:r>
      <w:r>
        <w:t xml:space="preserve"> floor offices</w:t>
      </w:r>
      <w:r w:rsidR="00690753">
        <w:t>, and lower costs per person by the end of the monitoring period</w:t>
      </w:r>
      <w:r>
        <w:t>.</w:t>
      </w:r>
    </w:p>
    <w:p w:rsidR="00230E32" w:rsidRDefault="00F005A1" w:rsidP="00230E32">
      <w:pPr>
        <w:pStyle w:val="Heading2"/>
      </w:pPr>
      <w:r>
        <w:t>I</w:t>
      </w:r>
      <w:r w:rsidR="00536E44">
        <w:t>mpact of engagement</w:t>
      </w:r>
    </w:p>
    <w:p w:rsidR="0072216B" w:rsidRDefault="00F005A1" w:rsidP="00536E44">
      <w:r>
        <w:t>Energy consumption when described in relation to the site population (daily energy cost per person) has dropped at all sites by a substantial amount over the monitoring period (ranging from 12 – 24%). The cause of such a reduction in energy consumption per person may be associated with improved efficiency of practices – for example switching off more items of equipment when not in use, especially over nights (weekend consumption seems to have varied less). However, it could also be due to the variations in populations during the monitoring period, with lower populations in all locations at the beginning of the period, and higher at the end. This increase in population will mean that the energy consumed by communal equipment which must remain ‘on’ permanently or for long periods of time will be shared among more individuals, and thus the energy intensity of any one individual is reduced.</w:t>
      </w:r>
      <w:r w:rsidR="00880167">
        <w:t xml:space="preserve"> This could account for some of the reduction in energy cost per person per day.</w:t>
      </w:r>
    </w:p>
    <w:p w:rsidR="00F005A1" w:rsidRDefault="00F005A1" w:rsidP="00536E44">
      <w:r>
        <w:t>However, bearing all of the above in mind, it still appears that there was a coincident reduction in energy use at some sites (specifically the labs) which could be attributed to the timing of the face-to-face presentation sessions.</w:t>
      </w:r>
    </w:p>
    <w:p w:rsidR="00F005A1" w:rsidRDefault="00F005A1" w:rsidP="00536E44"/>
    <w:p w:rsidR="00230E32" w:rsidRDefault="00F005A1" w:rsidP="00F005A1">
      <w:pPr>
        <w:pStyle w:val="Heading2"/>
      </w:pPr>
      <w:r>
        <w:t>Future recommendations</w:t>
      </w:r>
    </w:p>
    <w:p w:rsidR="00E54708" w:rsidRDefault="00F005A1" w:rsidP="00F005A1">
      <w:r>
        <w:t>It is recommended that the same H.R. data be sought and monitoring equipment be returned to the same sites in future, perhaps at end of November (3 months after the presentation) to ascertain whether practices have remained efficient, or if energy consumption per person has returned to higher levels.</w:t>
      </w:r>
    </w:p>
    <w:p w:rsidR="00E54708" w:rsidRDefault="00E54708" w:rsidP="00E54708">
      <w:r>
        <w:br w:type="page"/>
      </w:r>
    </w:p>
    <w:p w:rsidR="00F005A1" w:rsidRDefault="00E54708" w:rsidP="00E54708">
      <w:pPr>
        <w:pStyle w:val="Heading2"/>
      </w:pPr>
      <w:r>
        <w:lastRenderedPageBreak/>
        <w:t>Appendix – Phase 2 data gathering December 2017</w:t>
      </w:r>
    </w:p>
    <w:p w:rsidR="00E54708" w:rsidRDefault="00F50CF2" w:rsidP="00E54708">
      <w:r>
        <w:t>From</w:t>
      </w:r>
      <w:r w:rsidR="00E54708">
        <w:t xml:space="preserve"> 28</w:t>
      </w:r>
      <w:r w:rsidR="00E54708" w:rsidRPr="00E54708">
        <w:rPr>
          <w:vertAlign w:val="superscript"/>
        </w:rPr>
        <w:t>th</w:t>
      </w:r>
      <w:r w:rsidR="00E54708">
        <w:t xml:space="preserve"> November </w:t>
      </w:r>
      <w:r>
        <w:t>to 10</w:t>
      </w:r>
      <w:r w:rsidRPr="00F50CF2">
        <w:rPr>
          <w:vertAlign w:val="superscript"/>
        </w:rPr>
        <w:t>th</w:t>
      </w:r>
      <w:r>
        <w:t xml:space="preserve"> December</w:t>
      </w:r>
      <w:r w:rsidR="0084283F">
        <w:t xml:space="preserve"> 2017 </w:t>
      </w:r>
      <w:r w:rsidR="00E54708">
        <w:t>energy monitoring equipment was reinstalled to monitor the 2</w:t>
      </w:r>
      <w:r w:rsidR="00E54708" w:rsidRPr="00E54708">
        <w:rPr>
          <w:vertAlign w:val="superscript"/>
        </w:rPr>
        <w:t>nd</w:t>
      </w:r>
      <w:r w:rsidR="00E54708">
        <w:t xml:space="preserve"> Floor Labs, 3</w:t>
      </w:r>
      <w:r w:rsidR="00E54708" w:rsidRPr="00E54708">
        <w:rPr>
          <w:vertAlign w:val="superscript"/>
        </w:rPr>
        <w:t>rd</w:t>
      </w:r>
      <w:r w:rsidR="00E54708">
        <w:t xml:space="preserve"> Floor Labs and 3</w:t>
      </w:r>
      <w:r w:rsidR="00E54708" w:rsidRPr="00E54708">
        <w:rPr>
          <w:vertAlign w:val="superscript"/>
        </w:rPr>
        <w:t>rd</w:t>
      </w:r>
      <w:r w:rsidR="00E54708">
        <w:t xml:space="preserve"> Floor Offices. In addition HR</w:t>
      </w:r>
      <w:r w:rsidR="00771EF2">
        <w:t xml:space="preserve"> </w:t>
      </w:r>
      <w:r w:rsidR="00E54708">
        <w:t>for the building provided data on staff absences from sickness/annual leave. The aim of this monitoring was to understand if the energy reductions achieved in the summer (noted above) would be long-lasting or not. The data has provided the following results:</w:t>
      </w:r>
    </w:p>
    <w:p w:rsidR="00E54708" w:rsidRDefault="00E54708" w:rsidP="00E54708"/>
    <w:tbl>
      <w:tblPr>
        <w:tblStyle w:val="TableGrid"/>
        <w:tblW w:w="0" w:type="auto"/>
        <w:tblLook w:val="04A0" w:firstRow="1" w:lastRow="0" w:firstColumn="1" w:lastColumn="0" w:noHBand="0" w:noVBand="1"/>
      </w:tblPr>
      <w:tblGrid>
        <w:gridCol w:w="1129"/>
        <w:gridCol w:w="1560"/>
        <w:gridCol w:w="1842"/>
        <w:gridCol w:w="1701"/>
        <w:gridCol w:w="1134"/>
        <w:gridCol w:w="1134"/>
        <w:gridCol w:w="1236"/>
      </w:tblGrid>
      <w:tr w:rsidR="00115984" w:rsidTr="00F50CF2">
        <w:tc>
          <w:tcPr>
            <w:tcW w:w="1129" w:type="dxa"/>
          </w:tcPr>
          <w:p w:rsidR="00115984" w:rsidRPr="00F50CF2" w:rsidRDefault="00115984" w:rsidP="00E54708">
            <w:pPr>
              <w:rPr>
                <w:b/>
              </w:rPr>
            </w:pPr>
          </w:p>
        </w:tc>
        <w:tc>
          <w:tcPr>
            <w:tcW w:w="8607" w:type="dxa"/>
            <w:gridSpan w:val="6"/>
          </w:tcPr>
          <w:p w:rsidR="00115984" w:rsidRPr="00F50CF2" w:rsidRDefault="00115984" w:rsidP="00E54708">
            <w:pPr>
              <w:jc w:val="center"/>
              <w:rPr>
                <w:b/>
              </w:rPr>
            </w:pPr>
            <w:r w:rsidRPr="00F50CF2">
              <w:rPr>
                <w:b/>
              </w:rPr>
              <w:t>Average energy cost per person per day</w:t>
            </w:r>
          </w:p>
        </w:tc>
      </w:tr>
      <w:tr w:rsidR="00115984" w:rsidTr="00F50CF2">
        <w:tc>
          <w:tcPr>
            <w:tcW w:w="1129" w:type="dxa"/>
          </w:tcPr>
          <w:p w:rsidR="00115984" w:rsidRPr="00F50CF2" w:rsidRDefault="00115984" w:rsidP="00E54708">
            <w:pPr>
              <w:rPr>
                <w:b/>
              </w:rPr>
            </w:pPr>
            <w:r w:rsidRPr="00F50CF2">
              <w:rPr>
                <w:b/>
              </w:rPr>
              <w:t>Site</w:t>
            </w:r>
          </w:p>
        </w:tc>
        <w:tc>
          <w:tcPr>
            <w:tcW w:w="1560" w:type="dxa"/>
          </w:tcPr>
          <w:p w:rsidR="00115984" w:rsidRPr="00F50CF2" w:rsidRDefault="006F0B34" w:rsidP="00E54708">
            <w:pPr>
              <w:rPr>
                <w:b/>
              </w:rPr>
            </w:pPr>
            <w:r w:rsidRPr="00F50CF2">
              <w:rPr>
                <w:b/>
              </w:rPr>
              <w:t>July</w:t>
            </w:r>
            <w:r w:rsidR="00115984" w:rsidRPr="00F50CF2">
              <w:rPr>
                <w:b/>
              </w:rPr>
              <w:t xml:space="preserve"> 2017 </w:t>
            </w:r>
          </w:p>
          <w:p w:rsidR="00115984" w:rsidRPr="00F50CF2" w:rsidRDefault="00115984" w:rsidP="00E54708">
            <w:pPr>
              <w:rPr>
                <w:b/>
              </w:rPr>
            </w:pPr>
            <w:r w:rsidRPr="00F50CF2">
              <w:rPr>
                <w:b/>
              </w:rPr>
              <w:t>(Before Engagement )</w:t>
            </w:r>
          </w:p>
        </w:tc>
        <w:tc>
          <w:tcPr>
            <w:tcW w:w="1842" w:type="dxa"/>
          </w:tcPr>
          <w:p w:rsidR="00115984" w:rsidRPr="00F50CF2" w:rsidRDefault="00115984" w:rsidP="00E54708">
            <w:pPr>
              <w:rPr>
                <w:b/>
              </w:rPr>
            </w:pPr>
            <w:r w:rsidRPr="00F50CF2">
              <w:rPr>
                <w:b/>
              </w:rPr>
              <w:t xml:space="preserve">September 2017 </w:t>
            </w:r>
          </w:p>
          <w:p w:rsidR="00115984" w:rsidRPr="00F50CF2" w:rsidRDefault="00115984" w:rsidP="00F50CF2">
            <w:pPr>
              <w:rPr>
                <w:b/>
              </w:rPr>
            </w:pPr>
            <w:r w:rsidRPr="00F50CF2">
              <w:rPr>
                <w:b/>
              </w:rPr>
              <w:t>(</w:t>
            </w:r>
            <w:r w:rsidR="00F50CF2" w:rsidRPr="00F50CF2">
              <w:rPr>
                <w:b/>
              </w:rPr>
              <w:t>1 month after e</w:t>
            </w:r>
            <w:r w:rsidRPr="00F50CF2">
              <w:rPr>
                <w:b/>
              </w:rPr>
              <w:t>ngagement)</w:t>
            </w:r>
          </w:p>
        </w:tc>
        <w:tc>
          <w:tcPr>
            <w:tcW w:w="1701" w:type="dxa"/>
          </w:tcPr>
          <w:p w:rsidR="00115984" w:rsidRPr="00F50CF2" w:rsidRDefault="00115984" w:rsidP="00E54708">
            <w:pPr>
              <w:rPr>
                <w:b/>
              </w:rPr>
            </w:pPr>
            <w:r w:rsidRPr="00F50CF2">
              <w:rPr>
                <w:b/>
              </w:rPr>
              <w:t xml:space="preserve">December 2017 </w:t>
            </w:r>
          </w:p>
          <w:p w:rsidR="00115984" w:rsidRPr="00F50CF2" w:rsidRDefault="00115984" w:rsidP="00E54708">
            <w:pPr>
              <w:rPr>
                <w:b/>
              </w:rPr>
            </w:pPr>
            <w:r w:rsidRPr="00F50CF2">
              <w:rPr>
                <w:b/>
              </w:rPr>
              <w:t>(</w:t>
            </w:r>
            <w:r w:rsidR="00F50CF2" w:rsidRPr="00F50CF2">
              <w:rPr>
                <w:b/>
              </w:rPr>
              <w:t>4</w:t>
            </w:r>
            <w:r w:rsidRPr="00F50CF2">
              <w:rPr>
                <w:b/>
              </w:rPr>
              <w:t xml:space="preserve"> months </w:t>
            </w:r>
            <w:r w:rsidR="00F50CF2" w:rsidRPr="00F50CF2">
              <w:rPr>
                <w:b/>
              </w:rPr>
              <w:t>after engagement</w:t>
            </w:r>
            <w:r w:rsidRPr="00F50CF2">
              <w:rPr>
                <w:b/>
              </w:rPr>
              <w:t>)</w:t>
            </w:r>
          </w:p>
        </w:tc>
        <w:tc>
          <w:tcPr>
            <w:tcW w:w="1134" w:type="dxa"/>
          </w:tcPr>
          <w:p w:rsidR="00115984" w:rsidRPr="00F50CF2" w:rsidRDefault="00115984" w:rsidP="00E54708">
            <w:pPr>
              <w:rPr>
                <w:b/>
              </w:rPr>
            </w:pPr>
            <w:r w:rsidRPr="00F50CF2">
              <w:rPr>
                <w:b/>
              </w:rPr>
              <w:t>% change June to Sept</w:t>
            </w:r>
          </w:p>
        </w:tc>
        <w:tc>
          <w:tcPr>
            <w:tcW w:w="1134" w:type="dxa"/>
          </w:tcPr>
          <w:p w:rsidR="00115984" w:rsidRPr="00F50CF2" w:rsidRDefault="00115984" w:rsidP="00E54708">
            <w:pPr>
              <w:rPr>
                <w:b/>
              </w:rPr>
            </w:pPr>
            <w:r w:rsidRPr="00F50CF2">
              <w:rPr>
                <w:b/>
              </w:rPr>
              <w:t>% change Sept to Dec</w:t>
            </w:r>
          </w:p>
        </w:tc>
        <w:tc>
          <w:tcPr>
            <w:tcW w:w="1236" w:type="dxa"/>
          </w:tcPr>
          <w:p w:rsidR="00115984" w:rsidRPr="00F50CF2" w:rsidRDefault="00115984" w:rsidP="00115984">
            <w:pPr>
              <w:rPr>
                <w:b/>
              </w:rPr>
            </w:pPr>
            <w:r w:rsidRPr="00F50CF2">
              <w:rPr>
                <w:b/>
              </w:rPr>
              <w:t>% change June to Dec</w:t>
            </w:r>
          </w:p>
        </w:tc>
      </w:tr>
      <w:tr w:rsidR="00115984" w:rsidTr="00F50CF2">
        <w:tc>
          <w:tcPr>
            <w:tcW w:w="1129" w:type="dxa"/>
          </w:tcPr>
          <w:p w:rsidR="00115984" w:rsidRPr="00F50CF2" w:rsidRDefault="00115984" w:rsidP="00E54708">
            <w:pPr>
              <w:rPr>
                <w:b/>
              </w:rPr>
            </w:pPr>
            <w:r w:rsidRPr="00F50CF2">
              <w:rPr>
                <w:b/>
              </w:rPr>
              <w:t>2</w:t>
            </w:r>
            <w:r w:rsidRPr="00F50CF2">
              <w:rPr>
                <w:b/>
                <w:vertAlign w:val="superscript"/>
              </w:rPr>
              <w:t>nd</w:t>
            </w:r>
            <w:r w:rsidRPr="00F50CF2">
              <w:rPr>
                <w:b/>
              </w:rPr>
              <w:t xml:space="preserve"> Floor Labs</w:t>
            </w:r>
          </w:p>
        </w:tc>
        <w:tc>
          <w:tcPr>
            <w:tcW w:w="1560" w:type="dxa"/>
          </w:tcPr>
          <w:p w:rsidR="00115984" w:rsidRDefault="006F0B34" w:rsidP="00E54708">
            <w:r>
              <w:t>£0.84</w:t>
            </w:r>
          </w:p>
        </w:tc>
        <w:tc>
          <w:tcPr>
            <w:tcW w:w="1842" w:type="dxa"/>
          </w:tcPr>
          <w:p w:rsidR="00115984" w:rsidRDefault="006F0B34" w:rsidP="00E54708">
            <w:r>
              <w:t>£0.70</w:t>
            </w:r>
          </w:p>
        </w:tc>
        <w:tc>
          <w:tcPr>
            <w:tcW w:w="1701" w:type="dxa"/>
          </w:tcPr>
          <w:p w:rsidR="00115984" w:rsidRDefault="00115984" w:rsidP="00E54708">
            <w:r>
              <w:t>£0.73</w:t>
            </w:r>
          </w:p>
        </w:tc>
        <w:tc>
          <w:tcPr>
            <w:tcW w:w="1134" w:type="dxa"/>
          </w:tcPr>
          <w:p w:rsidR="00115984" w:rsidRDefault="00FB5E84" w:rsidP="00E54708">
            <w:r>
              <w:t>-</w:t>
            </w:r>
            <w:r w:rsidR="006F0B34">
              <w:t>16%</w:t>
            </w:r>
          </w:p>
        </w:tc>
        <w:tc>
          <w:tcPr>
            <w:tcW w:w="1134" w:type="dxa"/>
          </w:tcPr>
          <w:p w:rsidR="00115984" w:rsidRDefault="00FB5E84" w:rsidP="00E54708">
            <w:r>
              <w:t>+4%</w:t>
            </w:r>
          </w:p>
        </w:tc>
        <w:tc>
          <w:tcPr>
            <w:tcW w:w="1236" w:type="dxa"/>
          </w:tcPr>
          <w:p w:rsidR="00115984" w:rsidRDefault="00FB5E84" w:rsidP="00E54708">
            <w:r>
              <w:t>-13%</w:t>
            </w:r>
          </w:p>
        </w:tc>
      </w:tr>
      <w:tr w:rsidR="00115984" w:rsidTr="00F50CF2">
        <w:tc>
          <w:tcPr>
            <w:tcW w:w="1129" w:type="dxa"/>
          </w:tcPr>
          <w:p w:rsidR="00115984" w:rsidRPr="00F50CF2" w:rsidRDefault="00115984" w:rsidP="00E54708">
            <w:pPr>
              <w:rPr>
                <w:b/>
              </w:rPr>
            </w:pPr>
            <w:r w:rsidRPr="00F50CF2">
              <w:rPr>
                <w:b/>
              </w:rPr>
              <w:t>3</w:t>
            </w:r>
            <w:r w:rsidRPr="00F50CF2">
              <w:rPr>
                <w:b/>
                <w:vertAlign w:val="superscript"/>
              </w:rPr>
              <w:t xml:space="preserve">rd </w:t>
            </w:r>
            <w:r w:rsidRPr="00F50CF2">
              <w:rPr>
                <w:b/>
              </w:rPr>
              <w:t>Floor Labs</w:t>
            </w:r>
          </w:p>
        </w:tc>
        <w:tc>
          <w:tcPr>
            <w:tcW w:w="1560" w:type="dxa"/>
          </w:tcPr>
          <w:p w:rsidR="00115984" w:rsidRDefault="006F0B34" w:rsidP="00E54708">
            <w:r>
              <w:t>£0.62</w:t>
            </w:r>
          </w:p>
        </w:tc>
        <w:tc>
          <w:tcPr>
            <w:tcW w:w="1842" w:type="dxa"/>
          </w:tcPr>
          <w:p w:rsidR="00115984" w:rsidRDefault="006F0B34" w:rsidP="00E54708">
            <w:r>
              <w:t>£0.47</w:t>
            </w:r>
          </w:p>
        </w:tc>
        <w:tc>
          <w:tcPr>
            <w:tcW w:w="1701" w:type="dxa"/>
          </w:tcPr>
          <w:p w:rsidR="00115984" w:rsidRDefault="00115984" w:rsidP="00E54708">
            <w:r>
              <w:t>£0.46</w:t>
            </w:r>
          </w:p>
        </w:tc>
        <w:tc>
          <w:tcPr>
            <w:tcW w:w="1134" w:type="dxa"/>
          </w:tcPr>
          <w:p w:rsidR="00115984" w:rsidRDefault="00FB5E84" w:rsidP="00E54708">
            <w:r>
              <w:t>-</w:t>
            </w:r>
            <w:r w:rsidR="006F0B34">
              <w:t>24%</w:t>
            </w:r>
          </w:p>
        </w:tc>
        <w:tc>
          <w:tcPr>
            <w:tcW w:w="1134" w:type="dxa"/>
          </w:tcPr>
          <w:p w:rsidR="00115984" w:rsidRDefault="00FB5E84" w:rsidP="00E54708">
            <w:r>
              <w:t>-2%</w:t>
            </w:r>
          </w:p>
        </w:tc>
        <w:tc>
          <w:tcPr>
            <w:tcW w:w="1236" w:type="dxa"/>
          </w:tcPr>
          <w:p w:rsidR="00115984" w:rsidRDefault="00FB5E84" w:rsidP="00E54708">
            <w:r>
              <w:t>-26%</w:t>
            </w:r>
          </w:p>
        </w:tc>
      </w:tr>
      <w:tr w:rsidR="00115984" w:rsidTr="00F50CF2">
        <w:tc>
          <w:tcPr>
            <w:tcW w:w="1129" w:type="dxa"/>
          </w:tcPr>
          <w:p w:rsidR="00115984" w:rsidRPr="00F50CF2" w:rsidRDefault="00115984" w:rsidP="00E54708">
            <w:pPr>
              <w:rPr>
                <w:b/>
              </w:rPr>
            </w:pPr>
            <w:r w:rsidRPr="00F50CF2">
              <w:rPr>
                <w:b/>
              </w:rPr>
              <w:t>3</w:t>
            </w:r>
            <w:r w:rsidRPr="00F50CF2">
              <w:rPr>
                <w:b/>
                <w:vertAlign w:val="superscript"/>
              </w:rPr>
              <w:t xml:space="preserve">rd </w:t>
            </w:r>
            <w:r w:rsidRPr="00F50CF2">
              <w:rPr>
                <w:b/>
              </w:rPr>
              <w:t>Floor Offices</w:t>
            </w:r>
          </w:p>
        </w:tc>
        <w:tc>
          <w:tcPr>
            <w:tcW w:w="1560" w:type="dxa"/>
          </w:tcPr>
          <w:p w:rsidR="00115984" w:rsidRDefault="006F0B34" w:rsidP="00E54708">
            <w:r>
              <w:t>£0.58</w:t>
            </w:r>
          </w:p>
        </w:tc>
        <w:tc>
          <w:tcPr>
            <w:tcW w:w="1842" w:type="dxa"/>
          </w:tcPr>
          <w:p w:rsidR="00115984" w:rsidRDefault="006F0B34" w:rsidP="00E54708">
            <w:r>
              <w:t>£0.51</w:t>
            </w:r>
          </w:p>
        </w:tc>
        <w:tc>
          <w:tcPr>
            <w:tcW w:w="1701" w:type="dxa"/>
          </w:tcPr>
          <w:p w:rsidR="00115984" w:rsidRDefault="00115984" w:rsidP="00E54708">
            <w:r>
              <w:t>£0.53</w:t>
            </w:r>
          </w:p>
        </w:tc>
        <w:tc>
          <w:tcPr>
            <w:tcW w:w="1134" w:type="dxa"/>
          </w:tcPr>
          <w:p w:rsidR="00115984" w:rsidRDefault="00FB5E84" w:rsidP="00E54708">
            <w:r>
              <w:t>-</w:t>
            </w:r>
            <w:r w:rsidR="006F0B34">
              <w:t>12%</w:t>
            </w:r>
          </w:p>
        </w:tc>
        <w:tc>
          <w:tcPr>
            <w:tcW w:w="1134" w:type="dxa"/>
          </w:tcPr>
          <w:p w:rsidR="00115984" w:rsidRDefault="00FB5E84" w:rsidP="00E54708">
            <w:r>
              <w:t>+4%</w:t>
            </w:r>
          </w:p>
        </w:tc>
        <w:tc>
          <w:tcPr>
            <w:tcW w:w="1236" w:type="dxa"/>
          </w:tcPr>
          <w:p w:rsidR="00115984" w:rsidRDefault="00FB5E84" w:rsidP="00E54708">
            <w:r>
              <w:t>-9%</w:t>
            </w:r>
          </w:p>
        </w:tc>
      </w:tr>
    </w:tbl>
    <w:p w:rsidR="00E54708" w:rsidRPr="00E54708" w:rsidRDefault="00E54708" w:rsidP="00E54708"/>
    <w:p w:rsidR="00E54708" w:rsidRDefault="00AA44D4" w:rsidP="00E54708">
      <w:r>
        <w:t xml:space="preserve">This can be interpreted as encouraging news about the longevity (at least in the medium term) of impact of face-to-face energy engagement with staff. </w:t>
      </w:r>
    </w:p>
    <w:p w:rsidR="00F50CF2" w:rsidRDefault="00F50CF2" w:rsidP="00E54708">
      <w:r>
        <w:t>As with data analysis above, the first and last days of the monitoring were excluded from the data set as they were incomplete days and thus were providing skewed outlying exceptionally low results.</w:t>
      </w:r>
    </w:p>
    <w:p w:rsidR="00AA44D4" w:rsidRPr="00E54708" w:rsidRDefault="00AA44D4" w:rsidP="00E54708">
      <w:r>
        <w:t>Seasonality (summer to winter) may have influenced results slightly through the</w:t>
      </w:r>
      <w:r w:rsidR="001567DE">
        <w:t xml:space="preserve"> monitored</w:t>
      </w:r>
      <w:r>
        <w:t xml:space="preserve"> equipment operating in a hotter room environment in summer v</w:t>
      </w:r>
      <w:bookmarkStart w:id="0" w:name="_GoBack"/>
      <w:bookmarkEnd w:id="0"/>
      <w:r>
        <w:t xml:space="preserve">ersus winter, however the impact of this is thought to be low due to the temperature control exerted upon the rooms by air handling systems. </w:t>
      </w:r>
      <w:r w:rsidR="001567DE">
        <w:t xml:space="preserve">In addition, some of the energy consumption monitored in labs would be from equipment which would have reduced energy consumption in a hotter room environment (e.g. incubators/incubator shakers). Thus, from the data we have available, it is </w:t>
      </w:r>
      <w:r w:rsidR="00771EF2">
        <w:t>reasonable</w:t>
      </w:r>
      <w:r w:rsidR="001567DE">
        <w:t xml:space="preserve"> to assume that the observed energy consumption differences result from behaviour changes among staff.</w:t>
      </w:r>
    </w:p>
    <w:p w:rsidR="0072216B" w:rsidRPr="003961C5" w:rsidRDefault="0072216B"/>
    <w:sectPr w:rsidR="0072216B" w:rsidRPr="003961C5" w:rsidSect="00E90E86">
      <w:footerReference w:type="default" r:id="rId15"/>
      <w:headerReference w:type="first" r:id="rId1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11" w:rsidRPr="00D86BD6" w:rsidRDefault="00E35D11" w:rsidP="00D86BD6">
      <w:r>
        <w:separator/>
      </w:r>
    </w:p>
  </w:endnote>
  <w:endnote w:type="continuationSeparator" w:id="0">
    <w:p w:rsidR="00E35D11" w:rsidRPr="00D86BD6" w:rsidRDefault="00E35D11"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FC" w:rsidRDefault="009225FC" w:rsidP="009225FC">
    <w:pPr>
      <w:pStyle w:val="Footer"/>
    </w:pPr>
    <w:r w:rsidRPr="009225FC">
      <w:fldChar w:fldCharType="begin"/>
    </w:r>
    <w:r>
      <w:instrText xml:space="preserve"> FILENAME  \p  \* MERGEFORMAT </w:instrText>
    </w:r>
    <w:r w:rsidRPr="009225FC">
      <w:fldChar w:fldCharType="separate"/>
    </w:r>
    <w:r w:rsidR="00E35D11">
      <w:rPr>
        <w:noProof/>
      </w:rPr>
      <w:t>Document1</w:t>
    </w:r>
    <w:r w:rsidRPr="009225FC">
      <w:fldChar w:fldCharType="end"/>
    </w: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771EF2">
      <w:rPr>
        <w:noProof/>
      </w:rPr>
      <w:t>10</w:t>
    </w:r>
    <w:r w:rsidRPr="009225FC">
      <w:fldChar w:fldCharType="end"/>
    </w:r>
    <w:r w:rsidRPr="009225FC">
      <w:t xml:space="preserve"> of </w:t>
    </w:r>
    <w:fldSimple w:instr=" NUMPAGES  \* Arabic  \* MERGEFORMAT ">
      <w:r w:rsidR="00771EF2">
        <w:rPr>
          <w:noProof/>
        </w:rPr>
        <w:t>10</w:t>
      </w:r>
    </w:fldSimple>
  </w:p>
  <w:p w:rsidR="009225FC" w:rsidRDefault="0092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11" w:rsidRPr="00D86BD6" w:rsidRDefault="00E35D11" w:rsidP="00D86BD6">
      <w:r>
        <w:separator/>
      </w:r>
    </w:p>
  </w:footnote>
  <w:footnote w:type="continuationSeparator" w:id="0">
    <w:p w:rsidR="00E35D11" w:rsidRPr="00D86BD6" w:rsidRDefault="00E35D11" w:rsidP="00D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86" w:rsidRDefault="00071DB9">
    <w:pPr>
      <w:pStyle w:val="Header"/>
    </w:pPr>
    <w:r>
      <w:rPr>
        <w:noProof/>
        <w:lang w:eastAsia="en-GB"/>
      </w:rPr>
      <w:drawing>
        <wp:anchor distT="0" distB="0" distL="114300" distR="114300" simplePos="0" relativeHeight="251658240" behindDoc="0" locked="0" layoutInCell="1" allowOverlap="1" wp14:anchorId="6A5F579C" wp14:editId="13A7829C">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B1E013E" wp14:editId="22B60EE9">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rsidR="001311DE" w:rsidRDefault="001311DE">
    <w:pPr>
      <w:pStyle w:val="Header"/>
    </w:pPr>
  </w:p>
  <w:p w:rsidR="009F23A9" w:rsidRDefault="004B7DA9" w:rsidP="00D86BD6">
    <w:pPr>
      <w:pStyle w:val="Header"/>
    </w:pPr>
    <w:r w:rsidRPr="00D86BD6">
      <w:t>This publication is for</w:t>
    </w:r>
    <w:r w:rsidR="001311DE" w:rsidRPr="00D86BD6">
      <w:t xml:space="preserve"> </w:t>
    </w:r>
    <w:r w:rsidR="000B4E05" w:rsidRPr="00D86BD6">
      <w:t xml:space="preserve">open publication. </w:t>
    </w:r>
  </w:p>
  <w:p w:rsidR="001311DE" w:rsidRPr="00D86BD6" w:rsidRDefault="001311DE" w:rsidP="00D86BD6">
    <w:pPr>
      <w:pStyle w:val="Header"/>
    </w:pPr>
    <w:r w:rsidRPr="00D86BD6">
      <w:t>Prepared</w:t>
    </w:r>
    <w:r w:rsidR="009F23A9" w:rsidRPr="009F23A9">
      <w:t xml:space="preserve"> </w:t>
    </w:r>
    <w:r w:rsidR="00E35D11">
      <w:t xml:space="preserve">on </w:t>
    </w:r>
    <w:r w:rsidR="00F10AFB">
      <w:t>30</w:t>
    </w:r>
    <w:r w:rsidR="00E35D11" w:rsidRPr="00E35D11">
      <w:rPr>
        <w:vertAlign w:val="superscript"/>
      </w:rPr>
      <w:t>th</w:t>
    </w:r>
    <w:r w:rsidR="00E35D11">
      <w:t xml:space="preserve"> October 2017</w:t>
    </w:r>
    <w:r w:rsidR="006C3897">
      <w:t xml:space="preserve"> (updated 19</w:t>
    </w:r>
    <w:r w:rsidR="006C3897" w:rsidRPr="006C3897">
      <w:rPr>
        <w:vertAlign w:val="superscript"/>
      </w:rPr>
      <w:t>th</w:t>
    </w:r>
    <w:r w:rsidR="006C3897">
      <w:t xml:space="preserve"> December 2017) </w:t>
    </w:r>
    <w:r w:rsidRPr="00D86BD6">
      <w:t>by</w:t>
    </w:r>
    <w:r w:rsidR="00E35D11">
      <w:t xml:space="preserve"> Andrew Arnott</w:t>
    </w:r>
    <w:r w:rsidR="004B7DA9" w:rsidRPr="00D86BD6">
      <w:t xml:space="preserve"> for</w:t>
    </w:r>
    <w:r w:rsidR="00E35D11">
      <w:t xml:space="preserve"> </w:t>
    </w:r>
    <w:r w:rsidR="00F10AFB">
      <w:t>SRS</w:t>
    </w:r>
    <w:r w:rsidR="009F23A9">
      <w:t>.</w:t>
    </w:r>
  </w:p>
  <w:p w:rsidR="001311DE" w:rsidRDefault="0013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11"/>
    <w:rsid w:val="000560CB"/>
    <w:rsid w:val="00071DB9"/>
    <w:rsid w:val="000902B1"/>
    <w:rsid w:val="000B4E05"/>
    <w:rsid w:val="000C2F97"/>
    <w:rsid w:val="000E05A4"/>
    <w:rsid w:val="00115984"/>
    <w:rsid w:val="001311DE"/>
    <w:rsid w:val="00132E00"/>
    <w:rsid w:val="001361B1"/>
    <w:rsid w:val="001567DE"/>
    <w:rsid w:val="00213CC7"/>
    <w:rsid w:val="00230E32"/>
    <w:rsid w:val="002343C1"/>
    <w:rsid w:val="00306766"/>
    <w:rsid w:val="00373C19"/>
    <w:rsid w:val="003961C5"/>
    <w:rsid w:val="003A1083"/>
    <w:rsid w:val="003D2F56"/>
    <w:rsid w:val="00434C4B"/>
    <w:rsid w:val="00437B05"/>
    <w:rsid w:val="004B7DA9"/>
    <w:rsid w:val="00530A6F"/>
    <w:rsid w:val="00536E44"/>
    <w:rsid w:val="00566518"/>
    <w:rsid w:val="00572853"/>
    <w:rsid w:val="0062571C"/>
    <w:rsid w:val="00690753"/>
    <w:rsid w:val="006C3897"/>
    <w:rsid w:val="006C4C7D"/>
    <w:rsid w:val="006F0B34"/>
    <w:rsid w:val="0072216B"/>
    <w:rsid w:val="00771EF2"/>
    <w:rsid w:val="007B6B16"/>
    <w:rsid w:val="00836C6C"/>
    <w:rsid w:val="0084283F"/>
    <w:rsid w:val="00880167"/>
    <w:rsid w:val="00880975"/>
    <w:rsid w:val="008A0F27"/>
    <w:rsid w:val="009225FC"/>
    <w:rsid w:val="009332B3"/>
    <w:rsid w:val="00984C97"/>
    <w:rsid w:val="009E3396"/>
    <w:rsid w:val="009F23A9"/>
    <w:rsid w:val="00A1580B"/>
    <w:rsid w:val="00A403D4"/>
    <w:rsid w:val="00A722C0"/>
    <w:rsid w:val="00AA44D4"/>
    <w:rsid w:val="00AE49CB"/>
    <w:rsid w:val="00AF4F69"/>
    <w:rsid w:val="00C36A8F"/>
    <w:rsid w:val="00D47920"/>
    <w:rsid w:val="00D86BD6"/>
    <w:rsid w:val="00DC216D"/>
    <w:rsid w:val="00DE47FF"/>
    <w:rsid w:val="00E13178"/>
    <w:rsid w:val="00E35D11"/>
    <w:rsid w:val="00E54708"/>
    <w:rsid w:val="00E90E86"/>
    <w:rsid w:val="00EB3846"/>
    <w:rsid w:val="00F005A1"/>
    <w:rsid w:val="00F10AFB"/>
    <w:rsid w:val="00F50CF2"/>
    <w:rsid w:val="00F746E0"/>
    <w:rsid w:val="00F84D22"/>
    <w:rsid w:val="00FB5E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376F63"/>
  <w15:chartTrackingRefBased/>
  <w15:docId w15:val="{AF12D38E-5580-4E74-AF23-3D49AF41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dst\shared\CSG\SRS\Comm\0.%20Templates%20and%20resources\2.%20Templates\Briefing,%20Reporting%20and%20Case%20Study%20Templates\Briefing%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d\dst\shared\CSG\SRS\Prog\Laboratories\Evidence%20Base\Behaviour%20Change\IGMM%20monitoring%20project\Energy%20data\2017.09.26\IGMM_D_C3.D06_lab%20HH%20onl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dst\shared\CSG\SRS\Prog\Laboratories\Evidence%20Base\Behaviour%20Change\IGMM%20monitoring%20project\Energy%20data\2017.09.26\IGMM_C_E2.D07_corridor%20HH%20onl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dst\shared\CSG\SRS\Prog\Laboratories\Evidence%20Base\Behaviour%20Change\IGMM%20monitoring%20project\Energy%20data\2017.09.26\IGMM_B_E3.Z02B_corridor%20HH%20onl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d\dst\shared\CSG\SRS\Prog\Laboratories\Evidence%20Base\Behaviour%20Change\IGMM%20monitoring%20project\Energy%20data\2017.09.26\IGMM_A_C2.D06_lab%20HH%20onl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d\dst\shared\CSG\SRS\Prog\Laboratories\Evidence%20Base\Behaviour%20Change\IGMM%20monitoring%20project\Energy%20data\2017.09.26\IGMM_D_C3.D06_lab%20HH%20onl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d\dst\shared\CSG\SRS\Prog\Laboratories\Evidence%20Base\Behaviour%20Change\IGMM%20monitoring%20project\Energy%20data\2017.09.26\IGMM_C_E2.D07_corridor%20HH%20onl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d\dst\shared\CSG\SRS\Prog\Laboratories\Evidence%20Base\Behaviour%20Change\IGMM%20monitoring%20project\Energy%20data\2017.09.26\IGMM_B_E3.Z02B_corridor%20HH%20only.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[IGMM_D_C3.D06_lab HH only.xlsx]Sheet1!PivotTable1</c:name>
    <c:fmtId val="5"/>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3rd floor labs daily energy costs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Sheet1!$B$3</c:f>
              <c:strCache>
                <c:ptCount val="1"/>
                <c:pt idx="0">
                  <c:v>Total</c:v>
                </c:pt>
              </c:strCache>
            </c:strRef>
          </c:tx>
          <c:spPr>
            <a:ln w="28575" cap="rnd">
              <a:solidFill>
                <a:schemeClr val="accent1"/>
              </a:solidFill>
              <a:round/>
            </a:ln>
            <a:effectLst/>
          </c:spPr>
          <c:marker>
            <c:symbol val="none"/>
          </c:marker>
          <c:cat>
            <c:strRef>
              <c:f>Sheet1!$A$4:$A$59</c:f>
              <c:strCache>
                <c:ptCount val="55"/>
                <c:pt idx="0">
                  <c:v>06-Jul</c:v>
                </c:pt>
                <c:pt idx="1">
                  <c:v>07-Jul</c:v>
                </c:pt>
                <c:pt idx="2">
                  <c:v>08-Jul</c:v>
                </c:pt>
                <c:pt idx="3">
                  <c:v>09-Jul</c:v>
                </c:pt>
                <c:pt idx="4">
                  <c:v>10-Jul</c:v>
                </c:pt>
                <c:pt idx="5">
                  <c:v>11-Jul</c:v>
                </c:pt>
                <c:pt idx="6">
                  <c:v>12-Jul</c:v>
                </c:pt>
                <c:pt idx="7">
                  <c:v>13-Jul</c:v>
                </c:pt>
                <c:pt idx="8">
                  <c:v>14-Jul</c:v>
                </c:pt>
                <c:pt idx="9">
                  <c:v>15-Jul</c:v>
                </c:pt>
                <c:pt idx="10">
                  <c:v>16-Jul</c:v>
                </c:pt>
                <c:pt idx="11">
                  <c:v>22-Jul</c:v>
                </c:pt>
                <c:pt idx="12">
                  <c:v>23-Jul</c:v>
                </c:pt>
                <c:pt idx="13">
                  <c:v>25-Jul</c:v>
                </c:pt>
                <c:pt idx="14">
                  <c:v>26-Jul</c:v>
                </c:pt>
                <c:pt idx="15">
                  <c:v>27-Jul</c:v>
                </c:pt>
                <c:pt idx="16">
                  <c:v>28-Jul</c:v>
                </c:pt>
                <c:pt idx="17">
                  <c:v>29-Jul</c:v>
                </c:pt>
                <c:pt idx="18">
                  <c:v>30-Jul</c:v>
                </c:pt>
                <c:pt idx="19">
                  <c:v>31-Jul</c:v>
                </c:pt>
                <c:pt idx="20">
                  <c:v>11-Aug</c:v>
                </c:pt>
                <c:pt idx="21">
                  <c:v>12-Aug</c:v>
                </c:pt>
                <c:pt idx="22">
                  <c:v>13-Aug</c:v>
                </c:pt>
                <c:pt idx="23">
                  <c:v>14-Aug</c:v>
                </c:pt>
                <c:pt idx="24">
                  <c:v>15-Aug</c:v>
                </c:pt>
                <c:pt idx="25">
                  <c:v>16-Aug</c:v>
                </c:pt>
                <c:pt idx="26">
                  <c:v>19-Aug</c:v>
                </c:pt>
                <c:pt idx="27">
                  <c:v>20-Aug</c:v>
                </c:pt>
                <c:pt idx="28">
                  <c:v>21-Aug</c:v>
                </c:pt>
                <c:pt idx="29">
                  <c:v>22-Aug</c:v>
                </c:pt>
                <c:pt idx="30">
                  <c:v>25-Aug</c:v>
                </c:pt>
                <c:pt idx="31">
                  <c:v>26-Aug</c:v>
                </c:pt>
                <c:pt idx="32">
                  <c:v>27-Aug</c:v>
                </c:pt>
                <c:pt idx="33">
                  <c:v>28-Aug</c:v>
                </c:pt>
                <c:pt idx="34">
                  <c:v>29-Aug</c:v>
                </c:pt>
                <c:pt idx="35">
                  <c:v>30-Aug</c:v>
                </c:pt>
                <c:pt idx="36">
                  <c:v>01-Sep</c:v>
                </c:pt>
                <c:pt idx="37">
                  <c:v>02-Sep</c:v>
                </c:pt>
                <c:pt idx="38">
                  <c:v>03-Sep</c:v>
                </c:pt>
                <c:pt idx="39">
                  <c:v>04-Sep</c:v>
                </c:pt>
                <c:pt idx="40">
                  <c:v>05-Sep</c:v>
                </c:pt>
                <c:pt idx="41">
                  <c:v>06-Sep</c:v>
                </c:pt>
                <c:pt idx="42">
                  <c:v>09-Sep</c:v>
                </c:pt>
                <c:pt idx="43">
                  <c:v>10-Sep</c:v>
                </c:pt>
                <c:pt idx="44">
                  <c:v>11-Sep</c:v>
                </c:pt>
                <c:pt idx="45">
                  <c:v>12-Sep</c:v>
                </c:pt>
                <c:pt idx="46">
                  <c:v>13-Sep</c:v>
                </c:pt>
                <c:pt idx="47">
                  <c:v>16-Sep</c:v>
                </c:pt>
                <c:pt idx="48">
                  <c:v>17-Sep</c:v>
                </c:pt>
                <c:pt idx="49">
                  <c:v>18-Sep</c:v>
                </c:pt>
                <c:pt idx="50">
                  <c:v>19-Sep</c:v>
                </c:pt>
                <c:pt idx="51">
                  <c:v>20-Sep</c:v>
                </c:pt>
                <c:pt idx="52">
                  <c:v>21-Sep</c:v>
                </c:pt>
                <c:pt idx="53">
                  <c:v>22-Sep</c:v>
                </c:pt>
                <c:pt idx="54">
                  <c:v>23-Sep</c:v>
                </c:pt>
              </c:strCache>
            </c:strRef>
          </c:cat>
          <c:val>
            <c:numRef>
              <c:f>Sheet1!$B$4:$B$59</c:f>
              <c:numCache>
                <c:formatCode>General</c:formatCode>
                <c:ptCount val="55"/>
                <c:pt idx="0">
                  <c:v>29.861000000000008</c:v>
                </c:pt>
                <c:pt idx="1">
                  <c:v>28.277000000000001</c:v>
                </c:pt>
                <c:pt idx="2">
                  <c:v>20.197999999999997</c:v>
                </c:pt>
                <c:pt idx="3">
                  <c:v>19.486000000000001</c:v>
                </c:pt>
                <c:pt idx="4">
                  <c:v>28.654</c:v>
                </c:pt>
                <c:pt idx="5">
                  <c:v>25.821999999999996</c:v>
                </c:pt>
                <c:pt idx="6">
                  <c:v>26.143000000000008</c:v>
                </c:pt>
                <c:pt idx="7">
                  <c:v>27.140999999999998</c:v>
                </c:pt>
                <c:pt idx="8">
                  <c:v>26.309000000000008</c:v>
                </c:pt>
                <c:pt idx="9">
                  <c:v>16.395000000000003</c:v>
                </c:pt>
                <c:pt idx="10">
                  <c:v>15.007999999999999</c:v>
                </c:pt>
                <c:pt idx="11">
                  <c:v>15.727</c:v>
                </c:pt>
                <c:pt idx="12">
                  <c:v>15.794</c:v>
                </c:pt>
                <c:pt idx="13">
                  <c:v>28.72</c:v>
                </c:pt>
                <c:pt idx="14">
                  <c:v>28.625</c:v>
                </c:pt>
                <c:pt idx="15">
                  <c:v>27.170999999999999</c:v>
                </c:pt>
                <c:pt idx="16">
                  <c:v>27.690000000000005</c:v>
                </c:pt>
                <c:pt idx="17">
                  <c:v>19.987000000000005</c:v>
                </c:pt>
                <c:pt idx="18">
                  <c:v>18.795999999999999</c:v>
                </c:pt>
                <c:pt idx="19">
                  <c:v>27.398</c:v>
                </c:pt>
                <c:pt idx="20">
                  <c:v>24.164000000000001</c:v>
                </c:pt>
                <c:pt idx="21">
                  <c:v>16.141999999999999</c:v>
                </c:pt>
                <c:pt idx="22">
                  <c:v>16.16</c:v>
                </c:pt>
                <c:pt idx="23">
                  <c:v>26.203999999999997</c:v>
                </c:pt>
                <c:pt idx="24">
                  <c:v>28.541999999999991</c:v>
                </c:pt>
                <c:pt idx="25">
                  <c:v>27.781999999999996</c:v>
                </c:pt>
                <c:pt idx="26">
                  <c:v>20.599999999999998</c:v>
                </c:pt>
                <c:pt idx="27">
                  <c:v>18.043999999999997</c:v>
                </c:pt>
                <c:pt idx="28">
                  <c:v>27.397000000000002</c:v>
                </c:pt>
                <c:pt idx="29">
                  <c:v>26.651000000000003</c:v>
                </c:pt>
                <c:pt idx="30">
                  <c:v>22.217000000000002</c:v>
                </c:pt>
                <c:pt idx="31">
                  <c:v>15.822000000000001</c:v>
                </c:pt>
                <c:pt idx="32">
                  <c:v>15.696</c:v>
                </c:pt>
                <c:pt idx="33">
                  <c:v>22.269000000000009</c:v>
                </c:pt>
                <c:pt idx="34">
                  <c:v>24.571999999999999</c:v>
                </c:pt>
                <c:pt idx="35">
                  <c:v>23.421000000000003</c:v>
                </c:pt>
                <c:pt idx="36">
                  <c:v>17.177000000000003</c:v>
                </c:pt>
                <c:pt idx="37">
                  <c:v>16.138000000000005</c:v>
                </c:pt>
                <c:pt idx="38">
                  <c:v>14.862999999999998</c:v>
                </c:pt>
                <c:pt idx="39">
                  <c:v>22.461000000000002</c:v>
                </c:pt>
                <c:pt idx="40">
                  <c:v>21.855</c:v>
                </c:pt>
                <c:pt idx="41">
                  <c:v>23.416999999999991</c:v>
                </c:pt>
                <c:pt idx="42">
                  <c:v>16.615000000000002</c:v>
                </c:pt>
                <c:pt idx="43">
                  <c:v>16.105000000000004</c:v>
                </c:pt>
                <c:pt idx="44">
                  <c:v>25.317999999999998</c:v>
                </c:pt>
                <c:pt idx="45">
                  <c:v>27.473000000000003</c:v>
                </c:pt>
                <c:pt idx="46">
                  <c:v>27.162999999999997</c:v>
                </c:pt>
                <c:pt idx="47">
                  <c:v>14.515999999999998</c:v>
                </c:pt>
                <c:pt idx="48">
                  <c:v>14.398</c:v>
                </c:pt>
                <c:pt idx="49">
                  <c:v>23.105999999999998</c:v>
                </c:pt>
                <c:pt idx="50">
                  <c:v>25.896999999999998</c:v>
                </c:pt>
                <c:pt idx="51">
                  <c:v>26.610000000000003</c:v>
                </c:pt>
                <c:pt idx="52">
                  <c:v>24.435999999999993</c:v>
                </c:pt>
                <c:pt idx="53">
                  <c:v>24.457000000000001</c:v>
                </c:pt>
                <c:pt idx="54">
                  <c:v>21.327000000000009</c:v>
                </c:pt>
              </c:numCache>
            </c:numRef>
          </c:val>
          <c:smooth val="0"/>
          <c:extLst>
            <c:ext xmlns:c16="http://schemas.microsoft.com/office/drawing/2014/chart" uri="{C3380CC4-5D6E-409C-BE32-E72D297353CC}">
              <c16:uniqueId val="{00000000-FC92-4394-A9D1-B2C04726EE37}"/>
            </c:ext>
          </c:extLst>
        </c:ser>
        <c:dLbls>
          <c:showLegendKey val="0"/>
          <c:showVal val="0"/>
          <c:showCatName val="0"/>
          <c:showSerName val="0"/>
          <c:showPercent val="0"/>
          <c:showBubbleSize val="0"/>
        </c:dLbls>
        <c:smooth val="0"/>
        <c:axId val="247007464"/>
        <c:axId val="247008120"/>
      </c:lineChart>
      <c:catAx>
        <c:axId val="24700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008120"/>
        <c:crosses val="autoZero"/>
        <c:auto val="1"/>
        <c:lblAlgn val="ctr"/>
        <c:lblOffset val="100"/>
        <c:noMultiLvlLbl val="0"/>
      </c:catAx>
      <c:valAx>
        <c:axId val="247008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0074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[IGMM_C_E2.D07_corridor HH only.xlsx]Sheet1!PivotTable1</c:name>
    <c:fmtId val="14"/>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2nd floor offices daily energy costs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Sheet1!$B$3</c:f>
              <c:strCache>
                <c:ptCount val="1"/>
                <c:pt idx="0">
                  <c:v>Total</c:v>
                </c:pt>
              </c:strCache>
            </c:strRef>
          </c:tx>
          <c:spPr>
            <a:ln w="28575" cap="rnd">
              <a:solidFill>
                <a:schemeClr val="accent1"/>
              </a:solidFill>
              <a:round/>
            </a:ln>
            <a:effectLst/>
          </c:spPr>
          <c:marker>
            <c:symbol val="none"/>
          </c:marker>
          <c:cat>
            <c:strRef>
              <c:f>Sheet1!$A$4:$A$66</c:f>
              <c:strCache>
                <c:ptCount val="62"/>
                <c:pt idx="0">
                  <c:v>06-Jul</c:v>
                </c:pt>
                <c:pt idx="1">
                  <c:v>07-Jul</c:v>
                </c:pt>
                <c:pt idx="2">
                  <c:v>08-Jul</c:v>
                </c:pt>
                <c:pt idx="3">
                  <c:v>09-Jul</c:v>
                </c:pt>
                <c:pt idx="4">
                  <c:v>10-Jul</c:v>
                </c:pt>
                <c:pt idx="5">
                  <c:v>11-Jul</c:v>
                </c:pt>
                <c:pt idx="6">
                  <c:v>12-Jul</c:v>
                </c:pt>
                <c:pt idx="7">
                  <c:v>13-Jul</c:v>
                </c:pt>
                <c:pt idx="8">
                  <c:v>14-Jul</c:v>
                </c:pt>
                <c:pt idx="9">
                  <c:v>15-Jul</c:v>
                </c:pt>
                <c:pt idx="10">
                  <c:v>22-Jul</c:v>
                </c:pt>
                <c:pt idx="11">
                  <c:v>23-Jul</c:v>
                </c:pt>
                <c:pt idx="12">
                  <c:v>24-Jul</c:v>
                </c:pt>
                <c:pt idx="13">
                  <c:v>25-Jul</c:v>
                </c:pt>
                <c:pt idx="14">
                  <c:v>26-Jul</c:v>
                </c:pt>
                <c:pt idx="15">
                  <c:v>27-Jul</c:v>
                </c:pt>
                <c:pt idx="16">
                  <c:v>28-Jul</c:v>
                </c:pt>
                <c:pt idx="17">
                  <c:v>29-Jul</c:v>
                </c:pt>
                <c:pt idx="18">
                  <c:v>30-Jul</c:v>
                </c:pt>
                <c:pt idx="19">
                  <c:v>31-Jul</c:v>
                </c:pt>
                <c:pt idx="20">
                  <c:v>01-Aug</c:v>
                </c:pt>
                <c:pt idx="21">
                  <c:v>05-Aug</c:v>
                </c:pt>
                <c:pt idx="22">
                  <c:v>06-Aug</c:v>
                </c:pt>
                <c:pt idx="23">
                  <c:v>07-Aug</c:v>
                </c:pt>
                <c:pt idx="24">
                  <c:v>08-Aug</c:v>
                </c:pt>
                <c:pt idx="25">
                  <c:v>11-Aug</c:v>
                </c:pt>
                <c:pt idx="26">
                  <c:v>12-Aug</c:v>
                </c:pt>
                <c:pt idx="27">
                  <c:v>13-Aug</c:v>
                </c:pt>
                <c:pt idx="28">
                  <c:v>14-Aug</c:v>
                </c:pt>
                <c:pt idx="29">
                  <c:v>15-Aug</c:v>
                </c:pt>
                <c:pt idx="30">
                  <c:v>16-Aug</c:v>
                </c:pt>
                <c:pt idx="31">
                  <c:v>19-Aug</c:v>
                </c:pt>
                <c:pt idx="32">
                  <c:v>20-Aug</c:v>
                </c:pt>
                <c:pt idx="33">
                  <c:v>21-Aug</c:v>
                </c:pt>
                <c:pt idx="34">
                  <c:v>22-Aug</c:v>
                </c:pt>
                <c:pt idx="35">
                  <c:v>25-Aug</c:v>
                </c:pt>
                <c:pt idx="36">
                  <c:v>26-Aug</c:v>
                </c:pt>
                <c:pt idx="37">
                  <c:v>27-Aug</c:v>
                </c:pt>
                <c:pt idx="38">
                  <c:v>28-Aug</c:v>
                </c:pt>
                <c:pt idx="39">
                  <c:v>29-Aug</c:v>
                </c:pt>
                <c:pt idx="40">
                  <c:v>30-Aug</c:v>
                </c:pt>
                <c:pt idx="41">
                  <c:v>01-Sep</c:v>
                </c:pt>
                <c:pt idx="42">
                  <c:v>02-Sep</c:v>
                </c:pt>
                <c:pt idx="43">
                  <c:v>03-Sep</c:v>
                </c:pt>
                <c:pt idx="44">
                  <c:v>04-Sep</c:v>
                </c:pt>
                <c:pt idx="45">
                  <c:v>05-Sep</c:v>
                </c:pt>
                <c:pt idx="46">
                  <c:v>06-Sep</c:v>
                </c:pt>
                <c:pt idx="47">
                  <c:v>09-Sep</c:v>
                </c:pt>
                <c:pt idx="48">
                  <c:v>10-Sep</c:v>
                </c:pt>
                <c:pt idx="49">
                  <c:v>11-Sep</c:v>
                </c:pt>
                <c:pt idx="50">
                  <c:v>12-Sep</c:v>
                </c:pt>
                <c:pt idx="51">
                  <c:v>13-Sep</c:v>
                </c:pt>
                <c:pt idx="52">
                  <c:v>16-Sep</c:v>
                </c:pt>
                <c:pt idx="53">
                  <c:v>17-Sep</c:v>
                </c:pt>
                <c:pt idx="54">
                  <c:v>18-Sep</c:v>
                </c:pt>
                <c:pt idx="55">
                  <c:v>19-Sep</c:v>
                </c:pt>
                <c:pt idx="56">
                  <c:v>20-Sep</c:v>
                </c:pt>
                <c:pt idx="57">
                  <c:v>21-Sep</c:v>
                </c:pt>
                <c:pt idx="58">
                  <c:v>22-Sep</c:v>
                </c:pt>
                <c:pt idx="59">
                  <c:v>23-Sep</c:v>
                </c:pt>
                <c:pt idx="60">
                  <c:v>24-Sep</c:v>
                </c:pt>
                <c:pt idx="61">
                  <c:v>25-Sep</c:v>
                </c:pt>
              </c:strCache>
            </c:strRef>
          </c:cat>
          <c:val>
            <c:numRef>
              <c:f>Sheet1!$B$4:$B$66</c:f>
              <c:numCache>
                <c:formatCode>General</c:formatCode>
                <c:ptCount val="62"/>
                <c:pt idx="0">
                  <c:v>28.728000000000002</c:v>
                </c:pt>
                <c:pt idx="1">
                  <c:v>28.001000000000008</c:v>
                </c:pt>
                <c:pt idx="2">
                  <c:v>21.907000000000004</c:v>
                </c:pt>
                <c:pt idx="3">
                  <c:v>21.523999999999994</c:v>
                </c:pt>
                <c:pt idx="4">
                  <c:v>25.806999999999999</c:v>
                </c:pt>
                <c:pt idx="5">
                  <c:v>26.53</c:v>
                </c:pt>
                <c:pt idx="6">
                  <c:v>28.131999999999998</c:v>
                </c:pt>
                <c:pt idx="7">
                  <c:v>28.615000000000009</c:v>
                </c:pt>
                <c:pt idx="8">
                  <c:v>25.936000000000003</c:v>
                </c:pt>
                <c:pt idx="9">
                  <c:v>20.539999999999996</c:v>
                </c:pt>
                <c:pt idx="10">
                  <c:v>20.116999999999997</c:v>
                </c:pt>
                <c:pt idx="11">
                  <c:v>20.154000000000007</c:v>
                </c:pt>
                <c:pt idx="12">
                  <c:v>23.961000000000006</c:v>
                </c:pt>
                <c:pt idx="13">
                  <c:v>22.057000000000002</c:v>
                </c:pt>
                <c:pt idx="14">
                  <c:v>26.394000000000002</c:v>
                </c:pt>
                <c:pt idx="15">
                  <c:v>24.594999999999999</c:v>
                </c:pt>
                <c:pt idx="16">
                  <c:v>24.95600000000001</c:v>
                </c:pt>
                <c:pt idx="17">
                  <c:v>21.231999999999999</c:v>
                </c:pt>
                <c:pt idx="18">
                  <c:v>18.593</c:v>
                </c:pt>
                <c:pt idx="19">
                  <c:v>23.382000000000001</c:v>
                </c:pt>
                <c:pt idx="20">
                  <c:v>24.134000000000004</c:v>
                </c:pt>
                <c:pt idx="21">
                  <c:v>17.257000000000001</c:v>
                </c:pt>
                <c:pt idx="22">
                  <c:v>19.662999999999997</c:v>
                </c:pt>
                <c:pt idx="23">
                  <c:v>24.523000000000007</c:v>
                </c:pt>
                <c:pt idx="24">
                  <c:v>24.835000000000008</c:v>
                </c:pt>
                <c:pt idx="25">
                  <c:v>25.544</c:v>
                </c:pt>
                <c:pt idx="26">
                  <c:v>21.029000000000003</c:v>
                </c:pt>
                <c:pt idx="27">
                  <c:v>21.516000000000002</c:v>
                </c:pt>
                <c:pt idx="28">
                  <c:v>23.75800000000001</c:v>
                </c:pt>
                <c:pt idx="29">
                  <c:v>26.527000000000001</c:v>
                </c:pt>
                <c:pt idx="30">
                  <c:v>26.080999999999996</c:v>
                </c:pt>
                <c:pt idx="31">
                  <c:v>20.462</c:v>
                </c:pt>
                <c:pt idx="32">
                  <c:v>20.059999999999999</c:v>
                </c:pt>
                <c:pt idx="33">
                  <c:v>24.792000000000002</c:v>
                </c:pt>
                <c:pt idx="34">
                  <c:v>25.912999999999993</c:v>
                </c:pt>
                <c:pt idx="35">
                  <c:v>25.773999999999997</c:v>
                </c:pt>
                <c:pt idx="36">
                  <c:v>17.731000000000002</c:v>
                </c:pt>
                <c:pt idx="37">
                  <c:v>18.556999999999999</c:v>
                </c:pt>
                <c:pt idx="38">
                  <c:v>23.305000000000003</c:v>
                </c:pt>
                <c:pt idx="39">
                  <c:v>24.000999999999998</c:v>
                </c:pt>
                <c:pt idx="40">
                  <c:v>25.873999999999999</c:v>
                </c:pt>
                <c:pt idx="41">
                  <c:v>17.09</c:v>
                </c:pt>
                <c:pt idx="42">
                  <c:v>18.453000000000003</c:v>
                </c:pt>
                <c:pt idx="43">
                  <c:v>19.136000000000003</c:v>
                </c:pt>
                <c:pt idx="44">
                  <c:v>22.850999999999999</c:v>
                </c:pt>
                <c:pt idx="45">
                  <c:v>24.719999999999992</c:v>
                </c:pt>
                <c:pt idx="46">
                  <c:v>24.934999999999999</c:v>
                </c:pt>
                <c:pt idx="47">
                  <c:v>17.504000000000001</c:v>
                </c:pt>
                <c:pt idx="48">
                  <c:v>18.631999999999998</c:v>
                </c:pt>
                <c:pt idx="49">
                  <c:v>23.933</c:v>
                </c:pt>
                <c:pt idx="50">
                  <c:v>23.094000000000001</c:v>
                </c:pt>
                <c:pt idx="51">
                  <c:v>27.860000000000007</c:v>
                </c:pt>
                <c:pt idx="52">
                  <c:v>17.567000000000004</c:v>
                </c:pt>
                <c:pt idx="53">
                  <c:v>19.569000000000006</c:v>
                </c:pt>
                <c:pt idx="54">
                  <c:v>24.232000000000003</c:v>
                </c:pt>
                <c:pt idx="55">
                  <c:v>26.314000000000004</c:v>
                </c:pt>
                <c:pt idx="56">
                  <c:v>27.491999999999997</c:v>
                </c:pt>
                <c:pt idx="57">
                  <c:v>28.236999999999995</c:v>
                </c:pt>
                <c:pt idx="58">
                  <c:v>29.486999999999991</c:v>
                </c:pt>
                <c:pt idx="59">
                  <c:v>20.841999999999995</c:v>
                </c:pt>
                <c:pt idx="60">
                  <c:v>18.925000000000001</c:v>
                </c:pt>
                <c:pt idx="61">
                  <c:v>28.114999999999998</c:v>
                </c:pt>
              </c:numCache>
            </c:numRef>
          </c:val>
          <c:smooth val="0"/>
          <c:extLst>
            <c:ext xmlns:c16="http://schemas.microsoft.com/office/drawing/2014/chart" uri="{C3380CC4-5D6E-409C-BE32-E72D297353CC}">
              <c16:uniqueId val="{00000000-94DE-4976-B5FD-5996C52AF677}"/>
            </c:ext>
          </c:extLst>
        </c:ser>
        <c:dLbls>
          <c:showLegendKey val="0"/>
          <c:showVal val="0"/>
          <c:showCatName val="0"/>
          <c:showSerName val="0"/>
          <c:showPercent val="0"/>
          <c:showBubbleSize val="0"/>
        </c:dLbls>
        <c:smooth val="0"/>
        <c:axId val="232651656"/>
        <c:axId val="232650344"/>
      </c:lineChart>
      <c:catAx>
        <c:axId val="23265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50344"/>
        <c:crosses val="autoZero"/>
        <c:auto val="1"/>
        <c:lblAlgn val="ctr"/>
        <c:lblOffset val="100"/>
        <c:noMultiLvlLbl val="0"/>
      </c:catAx>
      <c:valAx>
        <c:axId val="232650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516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[IGMM_B_E3.Z02B_corridor HH only.xlsx]Sheet1!PivotTable1</c:name>
    <c:fmtId val="5"/>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3rd floor offices daily energy cost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Sheet1!$B$3</c:f>
              <c:strCache>
                <c:ptCount val="1"/>
                <c:pt idx="0">
                  <c:v>Total</c:v>
                </c:pt>
              </c:strCache>
            </c:strRef>
          </c:tx>
          <c:spPr>
            <a:ln w="28575" cap="rnd">
              <a:solidFill>
                <a:schemeClr val="accent1"/>
              </a:solidFill>
              <a:round/>
            </a:ln>
            <a:effectLst/>
          </c:spPr>
          <c:marker>
            <c:symbol val="none"/>
          </c:marker>
          <c:cat>
            <c:strRef>
              <c:f>Sheet1!$A$4:$A$63</c:f>
              <c:strCache>
                <c:ptCount val="59"/>
                <c:pt idx="0">
                  <c:v>06-Jul</c:v>
                </c:pt>
                <c:pt idx="1">
                  <c:v>07-Jul</c:v>
                </c:pt>
                <c:pt idx="2">
                  <c:v>08-Jul</c:v>
                </c:pt>
                <c:pt idx="3">
                  <c:v>09-Jul</c:v>
                </c:pt>
                <c:pt idx="4">
                  <c:v>10-Jul</c:v>
                </c:pt>
                <c:pt idx="5">
                  <c:v>11-Jul</c:v>
                </c:pt>
                <c:pt idx="6">
                  <c:v>12-Jul</c:v>
                </c:pt>
                <c:pt idx="7">
                  <c:v>13-Jul</c:v>
                </c:pt>
                <c:pt idx="8">
                  <c:v>22-Jul</c:v>
                </c:pt>
                <c:pt idx="9">
                  <c:v>23-Jul</c:v>
                </c:pt>
                <c:pt idx="10">
                  <c:v>24-Jul</c:v>
                </c:pt>
                <c:pt idx="11">
                  <c:v>25-Jul</c:v>
                </c:pt>
                <c:pt idx="12">
                  <c:v>26-Jul</c:v>
                </c:pt>
                <c:pt idx="13">
                  <c:v>27-Jul</c:v>
                </c:pt>
                <c:pt idx="14">
                  <c:v>28-Jul</c:v>
                </c:pt>
                <c:pt idx="15">
                  <c:v>29-Jul</c:v>
                </c:pt>
                <c:pt idx="16">
                  <c:v>30-Jul</c:v>
                </c:pt>
                <c:pt idx="17">
                  <c:v>31-Jul</c:v>
                </c:pt>
                <c:pt idx="18">
                  <c:v>01-Aug</c:v>
                </c:pt>
                <c:pt idx="19">
                  <c:v>05-Aug</c:v>
                </c:pt>
                <c:pt idx="20">
                  <c:v>06-Aug</c:v>
                </c:pt>
                <c:pt idx="21">
                  <c:v>07-Aug</c:v>
                </c:pt>
                <c:pt idx="22">
                  <c:v>08-Aug</c:v>
                </c:pt>
                <c:pt idx="23">
                  <c:v>11-Aug</c:v>
                </c:pt>
                <c:pt idx="24">
                  <c:v>12-Aug</c:v>
                </c:pt>
                <c:pt idx="25">
                  <c:v>13-Aug</c:v>
                </c:pt>
                <c:pt idx="26">
                  <c:v>14-Aug</c:v>
                </c:pt>
                <c:pt idx="27">
                  <c:v>15-Aug</c:v>
                </c:pt>
                <c:pt idx="28">
                  <c:v>16-Aug</c:v>
                </c:pt>
                <c:pt idx="29">
                  <c:v>19-Aug</c:v>
                </c:pt>
                <c:pt idx="30">
                  <c:v>20-Aug</c:v>
                </c:pt>
                <c:pt idx="31">
                  <c:v>21-Aug</c:v>
                </c:pt>
                <c:pt idx="32">
                  <c:v>22-Aug</c:v>
                </c:pt>
                <c:pt idx="33">
                  <c:v>25-Aug</c:v>
                </c:pt>
                <c:pt idx="34">
                  <c:v>26-Aug</c:v>
                </c:pt>
                <c:pt idx="35">
                  <c:v>27-Aug</c:v>
                </c:pt>
                <c:pt idx="36">
                  <c:v>28-Aug</c:v>
                </c:pt>
                <c:pt idx="37">
                  <c:v>29-Aug</c:v>
                </c:pt>
                <c:pt idx="38">
                  <c:v>30-Aug</c:v>
                </c:pt>
                <c:pt idx="39">
                  <c:v>02-Sep</c:v>
                </c:pt>
                <c:pt idx="40">
                  <c:v>03-Sep</c:v>
                </c:pt>
                <c:pt idx="41">
                  <c:v>04-Sep</c:v>
                </c:pt>
                <c:pt idx="42">
                  <c:v>05-Sep</c:v>
                </c:pt>
                <c:pt idx="43">
                  <c:v>06-Sep</c:v>
                </c:pt>
                <c:pt idx="44">
                  <c:v>09-Sep</c:v>
                </c:pt>
                <c:pt idx="45">
                  <c:v>10-Sep</c:v>
                </c:pt>
                <c:pt idx="46">
                  <c:v>11-Sep</c:v>
                </c:pt>
                <c:pt idx="47">
                  <c:v>12-Sep</c:v>
                </c:pt>
                <c:pt idx="48">
                  <c:v>13-Sep</c:v>
                </c:pt>
                <c:pt idx="49">
                  <c:v>16-Sep</c:v>
                </c:pt>
                <c:pt idx="50">
                  <c:v>17-Sep</c:v>
                </c:pt>
                <c:pt idx="51">
                  <c:v>18-Sep</c:v>
                </c:pt>
                <c:pt idx="52">
                  <c:v>19-Sep</c:v>
                </c:pt>
                <c:pt idx="53">
                  <c:v>20-Sep</c:v>
                </c:pt>
                <c:pt idx="54">
                  <c:v>21-Sep</c:v>
                </c:pt>
                <c:pt idx="55">
                  <c:v>22-Sep</c:v>
                </c:pt>
                <c:pt idx="56">
                  <c:v>23-Sep</c:v>
                </c:pt>
                <c:pt idx="57">
                  <c:v>24-Sep</c:v>
                </c:pt>
                <c:pt idx="58">
                  <c:v>25-Sep</c:v>
                </c:pt>
              </c:strCache>
            </c:strRef>
          </c:cat>
          <c:val>
            <c:numRef>
              <c:f>Sheet1!$B$4:$B$63</c:f>
              <c:numCache>
                <c:formatCode>General</c:formatCode>
                <c:ptCount val="59"/>
                <c:pt idx="0">
                  <c:v>22.959</c:v>
                </c:pt>
                <c:pt idx="1">
                  <c:v>23.693999999999999</c:v>
                </c:pt>
                <c:pt idx="2">
                  <c:v>19.473999999999997</c:v>
                </c:pt>
                <c:pt idx="3">
                  <c:v>19.947000000000003</c:v>
                </c:pt>
                <c:pt idx="4">
                  <c:v>22.808999999999994</c:v>
                </c:pt>
                <c:pt idx="5">
                  <c:v>22.680999999999997</c:v>
                </c:pt>
                <c:pt idx="6">
                  <c:v>22.917000000000005</c:v>
                </c:pt>
                <c:pt idx="7">
                  <c:v>22.091000000000008</c:v>
                </c:pt>
                <c:pt idx="8">
                  <c:v>20.106000000000002</c:v>
                </c:pt>
                <c:pt idx="9">
                  <c:v>19.589000000000002</c:v>
                </c:pt>
                <c:pt idx="10">
                  <c:v>23.444999999999993</c:v>
                </c:pt>
                <c:pt idx="11">
                  <c:v>25.167999999999996</c:v>
                </c:pt>
                <c:pt idx="12">
                  <c:v>23.637</c:v>
                </c:pt>
                <c:pt idx="13">
                  <c:v>22.969000000000001</c:v>
                </c:pt>
                <c:pt idx="14">
                  <c:v>23.33100000000001</c:v>
                </c:pt>
                <c:pt idx="15">
                  <c:v>20.517000000000003</c:v>
                </c:pt>
                <c:pt idx="16">
                  <c:v>19.676000000000002</c:v>
                </c:pt>
                <c:pt idx="17">
                  <c:v>22.905999999999999</c:v>
                </c:pt>
                <c:pt idx="18">
                  <c:v>22.969999999999995</c:v>
                </c:pt>
                <c:pt idx="19">
                  <c:v>19.771000000000004</c:v>
                </c:pt>
                <c:pt idx="20">
                  <c:v>19.434000000000001</c:v>
                </c:pt>
                <c:pt idx="21">
                  <c:v>23.547999999999998</c:v>
                </c:pt>
                <c:pt idx="22">
                  <c:v>21.999999999999989</c:v>
                </c:pt>
                <c:pt idx="23">
                  <c:v>23.057000000000002</c:v>
                </c:pt>
                <c:pt idx="24">
                  <c:v>20.204000000000001</c:v>
                </c:pt>
                <c:pt idx="25">
                  <c:v>19.816000000000003</c:v>
                </c:pt>
                <c:pt idx="26">
                  <c:v>22.795999999999999</c:v>
                </c:pt>
                <c:pt idx="27">
                  <c:v>23.462000000000003</c:v>
                </c:pt>
                <c:pt idx="28">
                  <c:v>24.715000000000007</c:v>
                </c:pt>
                <c:pt idx="29">
                  <c:v>20.021999999999995</c:v>
                </c:pt>
                <c:pt idx="30">
                  <c:v>20.151999999999994</c:v>
                </c:pt>
                <c:pt idx="31">
                  <c:v>23.332999999999991</c:v>
                </c:pt>
                <c:pt idx="32">
                  <c:v>23.576000000000001</c:v>
                </c:pt>
                <c:pt idx="33">
                  <c:v>22.239000000000001</c:v>
                </c:pt>
                <c:pt idx="34">
                  <c:v>18.937999999999992</c:v>
                </c:pt>
                <c:pt idx="35">
                  <c:v>18.933999999999997</c:v>
                </c:pt>
                <c:pt idx="36">
                  <c:v>23.149999999999995</c:v>
                </c:pt>
                <c:pt idx="37">
                  <c:v>22.411999999999999</c:v>
                </c:pt>
                <c:pt idx="38">
                  <c:v>22.306000000000001</c:v>
                </c:pt>
                <c:pt idx="39">
                  <c:v>19.257999999999999</c:v>
                </c:pt>
                <c:pt idx="40">
                  <c:v>19.327000000000002</c:v>
                </c:pt>
                <c:pt idx="41">
                  <c:v>23.667000000000002</c:v>
                </c:pt>
                <c:pt idx="42">
                  <c:v>22.925999999999991</c:v>
                </c:pt>
                <c:pt idx="43">
                  <c:v>25.304999999999996</c:v>
                </c:pt>
                <c:pt idx="44">
                  <c:v>19.323000000000004</c:v>
                </c:pt>
                <c:pt idx="45">
                  <c:v>20.245000000000001</c:v>
                </c:pt>
                <c:pt idx="46">
                  <c:v>24.221999999999991</c:v>
                </c:pt>
                <c:pt idx="47">
                  <c:v>23.910000000000004</c:v>
                </c:pt>
                <c:pt idx="48">
                  <c:v>24.898</c:v>
                </c:pt>
                <c:pt idx="49">
                  <c:v>21.836000000000006</c:v>
                </c:pt>
                <c:pt idx="50">
                  <c:v>21.471</c:v>
                </c:pt>
                <c:pt idx="51">
                  <c:v>24.486999999999998</c:v>
                </c:pt>
                <c:pt idx="52">
                  <c:v>25.400999999999996</c:v>
                </c:pt>
                <c:pt idx="53">
                  <c:v>26.613000000000014</c:v>
                </c:pt>
                <c:pt idx="54">
                  <c:v>27.285000000000004</c:v>
                </c:pt>
                <c:pt idx="55">
                  <c:v>27.005999999999997</c:v>
                </c:pt>
                <c:pt idx="56">
                  <c:v>24.135999999999999</c:v>
                </c:pt>
                <c:pt idx="57">
                  <c:v>22.462000000000007</c:v>
                </c:pt>
                <c:pt idx="58">
                  <c:v>27.215000000000003</c:v>
                </c:pt>
              </c:numCache>
            </c:numRef>
          </c:val>
          <c:smooth val="0"/>
          <c:extLst>
            <c:ext xmlns:c16="http://schemas.microsoft.com/office/drawing/2014/chart" uri="{C3380CC4-5D6E-409C-BE32-E72D297353CC}">
              <c16:uniqueId val="{00000000-9493-4A5E-A2E6-D329D9FBAFF6}"/>
            </c:ext>
          </c:extLst>
        </c:ser>
        <c:dLbls>
          <c:showLegendKey val="0"/>
          <c:showVal val="0"/>
          <c:showCatName val="0"/>
          <c:showSerName val="0"/>
          <c:showPercent val="0"/>
          <c:showBubbleSize val="0"/>
        </c:dLbls>
        <c:smooth val="0"/>
        <c:axId val="222424576"/>
        <c:axId val="221971208"/>
      </c:lineChart>
      <c:catAx>
        <c:axId val="22242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971208"/>
        <c:crosses val="autoZero"/>
        <c:auto val="1"/>
        <c:lblAlgn val="ctr"/>
        <c:lblOffset val="100"/>
        <c:noMultiLvlLbl val="0"/>
      </c:catAx>
      <c:valAx>
        <c:axId val="221971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4245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pop''n'!$A$2:$A$62</c:f>
              <c:strCache>
                <c:ptCount val="61"/>
                <c:pt idx="0">
                  <c:v>06-Jul</c:v>
                </c:pt>
                <c:pt idx="1">
                  <c:v>07-Jul</c:v>
                </c:pt>
                <c:pt idx="2">
                  <c:v>08-Jul</c:v>
                </c:pt>
                <c:pt idx="3">
                  <c:v>09-Jul</c:v>
                </c:pt>
                <c:pt idx="4">
                  <c:v>10-Jul</c:v>
                </c:pt>
                <c:pt idx="5">
                  <c:v>11-Jul</c:v>
                </c:pt>
                <c:pt idx="6">
                  <c:v>12-Jul</c:v>
                </c:pt>
                <c:pt idx="7">
                  <c:v>13-Jul</c:v>
                </c:pt>
                <c:pt idx="8">
                  <c:v>14-Jul</c:v>
                </c:pt>
                <c:pt idx="9">
                  <c:v>15-Jul</c:v>
                </c:pt>
                <c:pt idx="10">
                  <c:v>16-Jul</c:v>
                </c:pt>
                <c:pt idx="11">
                  <c:v>22-Jul</c:v>
                </c:pt>
                <c:pt idx="12">
                  <c:v>23-Jul</c:v>
                </c:pt>
                <c:pt idx="13">
                  <c:v>24-Jul</c:v>
                </c:pt>
                <c:pt idx="14">
                  <c:v>25-Jul</c:v>
                </c:pt>
                <c:pt idx="15">
                  <c:v>26-Jul</c:v>
                </c:pt>
                <c:pt idx="16">
                  <c:v>27-Jul</c:v>
                </c:pt>
                <c:pt idx="17">
                  <c:v>28-Jul</c:v>
                </c:pt>
                <c:pt idx="18">
                  <c:v>29-Jul</c:v>
                </c:pt>
                <c:pt idx="19">
                  <c:v>30-Jul</c:v>
                </c:pt>
                <c:pt idx="20">
                  <c:v>31-Jul</c:v>
                </c:pt>
                <c:pt idx="21">
                  <c:v>05-Aug</c:v>
                </c:pt>
                <c:pt idx="22">
                  <c:v>06-Aug</c:v>
                </c:pt>
                <c:pt idx="23">
                  <c:v>07-Aug</c:v>
                </c:pt>
                <c:pt idx="24">
                  <c:v>08-Aug</c:v>
                </c:pt>
                <c:pt idx="25">
                  <c:v>11-Aug</c:v>
                </c:pt>
                <c:pt idx="26">
                  <c:v>12-Aug</c:v>
                </c:pt>
                <c:pt idx="27">
                  <c:v>13-Aug</c:v>
                </c:pt>
                <c:pt idx="28">
                  <c:v>14-Aug</c:v>
                </c:pt>
                <c:pt idx="29">
                  <c:v>15-Aug</c:v>
                </c:pt>
                <c:pt idx="30">
                  <c:v>16-Aug</c:v>
                </c:pt>
                <c:pt idx="31">
                  <c:v>19-Aug</c:v>
                </c:pt>
                <c:pt idx="32">
                  <c:v>20-Aug</c:v>
                </c:pt>
                <c:pt idx="33">
                  <c:v>21-Aug</c:v>
                </c:pt>
                <c:pt idx="34">
                  <c:v>22-Aug</c:v>
                </c:pt>
                <c:pt idx="35">
                  <c:v>25-Aug</c:v>
                </c:pt>
                <c:pt idx="36">
                  <c:v>26-Aug</c:v>
                </c:pt>
                <c:pt idx="37">
                  <c:v>27-Aug</c:v>
                </c:pt>
                <c:pt idx="38">
                  <c:v>28-Aug</c:v>
                </c:pt>
                <c:pt idx="39">
                  <c:v>29-Aug</c:v>
                </c:pt>
                <c:pt idx="40">
                  <c:v>30-Aug</c:v>
                </c:pt>
                <c:pt idx="41">
                  <c:v>02-Sep</c:v>
                </c:pt>
                <c:pt idx="42">
                  <c:v>03-Sep</c:v>
                </c:pt>
                <c:pt idx="43">
                  <c:v>04-Sep</c:v>
                </c:pt>
                <c:pt idx="44">
                  <c:v>05-Sep</c:v>
                </c:pt>
                <c:pt idx="45">
                  <c:v>06-Sep</c:v>
                </c:pt>
                <c:pt idx="46">
                  <c:v>09-Sep</c:v>
                </c:pt>
                <c:pt idx="47">
                  <c:v>10-Sep</c:v>
                </c:pt>
                <c:pt idx="48">
                  <c:v>11-Sep</c:v>
                </c:pt>
                <c:pt idx="49">
                  <c:v>12-Sep</c:v>
                </c:pt>
                <c:pt idx="50">
                  <c:v>13-Sep</c:v>
                </c:pt>
                <c:pt idx="51">
                  <c:v>16-Sep</c:v>
                </c:pt>
                <c:pt idx="52">
                  <c:v>17-Sep</c:v>
                </c:pt>
                <c:pt idx="53">
                  <c:v>18-Sep</c:v>
                </c:pt>
                <c:pt idx="54">
                  <c:v>19-Sep</c:v>
                </c:pt>
                <c:pt idx="55">
                  <c:v>20-Sep</c:v>
                </c:pt>
                <c:pt idx="56">
                  <c:v>21-Sep</c:v>
                </c:pt>
                <c:pt idx="57">
                  <c:v>22-Sep</c:v>
                </c:pt>
                <c:pt idx="58">
                  <c:v>23-Sep</c:v>
                </c:pt>
                <c:pt idx="59">
                  <c:v>24-Sep</c:v>
                </c:pt>
                <c:pt idx="60">
                  <c:v>25-Sep</c:v>
                </c:pt>
              </c:strCache>
            </c:strRef>
          </c:cat>
          <c:val>
            <c:numRef>
              <c:f>'energy vs pop''n'!$D$2:$D$62</c:f>
              <c:numCache>
                <c:formatCode>_("£"* #,##0.00_);_("£"* \(#,##0.00\);_("£"* "-"??_);_(@_)</c:formatCode>
                <c:ptCount val="61"/>
                <c:pt idx="0">
                  <c:v>0.86163829787234059</c:v>
                </c:pt>
                <c:pt idx="1">
                  <c:v>0.97178048780487791</c:v>
                </c:pt>
                <c:pt idx="2">
                  <c:v>0.67528888888888872</c:v>
                </c:pt>
                <c:pt idx="3">
                  <c:v>0.63802222222222227</c:v>
                </c:pt>
                <c:pt idx="4">
                  <c:v>0.87102222222222214</c:v>
                </c:pt>
                <c:pt idx="5">
                  <c:v>0.86964444444444433</c:v>
                </c:pt>
                <c:pt idx="6">
                  <c:v>0.97492857142857148</c:v>
                </c:pt>
                <c:pt idx="7">
                  <c:v>0.99864285714285728</c:v>
                </c:pt>
                <c:pt idx="8">
                  <c:v>0.90020930232558127</c:v>
                </c:pt>
                <c:pt idx="9">
                  <c:v>0.69706521739130434</c:v>
                </c:pt>
                <c:pt idx="10">
                  <c:v>0.63604347826086982</c:v>
                </c:pt>
                <c:pt idx="11">
                  <c:v>0.77070454545454548</c:v>
                </c:pt>
                <c:pt idx="12">
                  <c:v>0.77670454545454537</c:v>
                </c:pt>
                <c:pt idx="13">
                  <c:v>0.9553488372093023</c:v>
                </c:pt>
                <c:pt idx="14">
                  <c:v>0.97060465116279082</c:v>
                </c:pt>
                <c:pt idx="15">
                  <c:v>1.0080232558139535</c:v>
                </c:pt>
                <c:pt idx="16">
                  <c:v>1.017348837209302</c:v>
                </c:pt>
                <c:pt idx="17">
                  <c:v>0.93243181818181808</c:v>
                </c:pt>
                <c:pt idx="18">
                  <c:v>0.72202222222222234</c:v>
                </c:pt>
                <c:pt idx="19">
                  <c:v>0.72411363636363646</c:v>
                </c:pt>
                <c:pt idx="20">
                  <c:v>0.91334883720930271</c:v>
                </c:pt>
                <c:pt idx="21">
                  <c:v>0.68646808510638302</c:v>
                </c:pt>
                <c:pt idx="22">
                  <c:v>0.74770212765957467</c:v>
                </c:pt>
                <c:pt idx="23">
                  <c:v>0.92519565217391264</c:v>
                </c:pt>
                <c:pt idx="24">
                  <c:v>0.90558695652173904</c:v>
                </c:pt>
                <c:pt idx="25">
                  <c:v>0.97811904761904755</c:v>
                </c:pt>
                <c:pt idx="26">
                  <c:v>0.84022727272727282</c:v>
                </c:pt>
                <c:pt idx="27">
                  <c:v>0.73690909090909074</c:v>
                </c:pt>
                <c:pt idx="28">
                  <c:v>0.98283333333333345</c:v>
                </c:pt>
                <c:pt idx="29">
                  <c:v>1.0098780487804879</c:v>
                </c:pt>
                <c:pt idx="30">
                  <c:v>0.98822727272727284</c:v>
                </c:pt>
                <c:pt idx="31">
                  <c:v>0.67244897959183669</c:v>
                </c:pt>
                <c:pt idx="32">
                  <c:v>0.67877551020408156</c:v>
                </c:pt>
                <c:pt idx="33">
                  <c:v>0.7901020408163264</c:v>
                </c:pt>
                <c:pt idx="34">
                  <c:v>0.84870833333333306</c:v>
                </c:pt>
                <c:pt idx="35">
                  <c:v>0.80337499999999995</c:v>
                </c:pt>
                <c:pt idx="36">
                  <c:v>0.61265999999999998</c:v>
                </c:pt>
                <c:pt idx="37">
                  <c:v>0.61231999999999998</c:v>
                </c:pt>
                <c:pt idx="38">
                  <c:v>0.75067346938775503</c:v>
                </c:pt>
                <c:pt idx="39">
                  <c:v>0.76655102040816314</c:v>
                </c:pt>
                <c:pt idx="40">
                  <c:v>0.81144897959183659</c:v>
                </c:pt>
                <c:pt idx="41">
                  <c:v>0.62941999999999998</c:v>
                </c:pt>
                <c:pt idx="42">
                  <c:v>0.64045098039215698</c:v>
                </c:pt>
                <c:pt idx="43">
                  <c:v>0.795450980392157</c:v>
                </c:pt>
                <c:pt idx="44">
                  <c:v>0.79041176470588226</c:v>
                </c:pt>
                <c:pt idx="45">
                  <c:v>0.80294117647058816</c:v>
                </c:pt>
                <c:pt idx="46">
                  <c:v>0.59196153846153854</c:v>
                </c:pt>
                <c:pt idx="47">
                  <c:v>0.61275000000000013</c:v>
                </c:pt>
                <c:pt idx="48">
                  <c:v>0.78388235294117647</c:v>
                </c:pt>
                <c:pt idx="49">
                  <c:v>0.76069230769230789</c:v>
                </c:pt>
                <c:pt idx="50">
                  <c:v>0.77081132075471703</c:v>
                </c:pt>
                <c:pt idx="51">
                  <c:v>0.58928846153846171</c:v>
                </c:pt>
                <c:pt idx="52">
                  <c:v>0.58792307692307688</c:v>
                </c:pt>
                <c:pt idx="53">
                  <c:v>0.76396078431372538</c:v>
                </c:pt>
                <c:pt idx="54">
                  <c:v>0.74986538461538454</c:v>
                </c:pt>
                <c:pt idx="55">
                  <c:v>0.78874509803921566</c:v>
                </c:pt>
                <c:pt idx="56">
                  <c:v>0.81148076923076928</c:v>
                </c:pt>
                <c:pt idx="57">
                  <c:v>0.75932075471698113</c:v>
                </c:pt>
                <c:pt idx="58">
                  <c:v>0.62555555555555553</c:v>
                </c:pt>
                <c:pt idx="59">
                  <c:v>0.61609259259259275</c:v>
                </c:pt>
                <c:pt idx="60">
                  <c:v>0.74374074074074104</c:v>
                </c:pt>
              </c:numCache>
            </c:numRef>
          </c:val>
          <c:smooth val="0"/>
          <c:extLst>
            <c:ext xmlns:c16="http://schemas.microsoft.com/office/drawing/2014/chart" uri="{C3380CC4-5D6E-409C-BE32-E72D297353CC}">
              <c16:uniqueId val="{00000000-B8CE-4DC6-B882-267CD4C2FB52}"/>
            </c:ext>
          </c:extLst>
        </c:ser>
        <c:dLbls>
          <c:showLegendKey val="0"/>
          <c:showVal val="0"/>
          <c:showCatName val="0"/>
          <c:showSerName val="0"/>
          <c:showPercent val="0"/>
          <c:showBubbleSize val="0"/>
        </c:dLbls>
        <c:smooth val="0"/>
        <c:axId val="258702760"/>
        <c:axId val="258701120"/>
      </c:lineChart>
      <c:catAx>
        <c:axId val="25870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701120"/>
        <c:crosses val="autoZero"/>
        <c:auto val="1"/>
        <c:lblAlgn val="ctr"/>
        <c:lblOffset val="100"/>
        <c:noMultiLvlLbl val="0"/>
      </c:catAx>
      <c:valAx>
        <c:axId val="2587011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702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pop''n'!$A$2:$A$56</c:f>
              <c:strCache>
                <c:ptCount val="55"/>
                <c:pt idx="0">
                  <c:v>06-Jul</c:v>
                </c:pt>
                <c:pt idx="1">
                  <c:v>07-Jul</c:v>
                </c:pt>
                <c:pt idx="2">
                  <c:v>08-Jul</c:v>
                </c:pt>
                <c:pt idx="3">
                  <c:v>09-Jul</c:v>
                </c:pt>
                <c:pt idx="4">
                  <c:v>10-Jul</c:v>
                </c:pt>
                <c:pt idx="5">
                  <c:v>11-Jul</c:v>
                </c:pt>
                <c:pt idx="6">
                  <c:v>12-Jul</c:v>
                </c:pt>
                <c:pt idx="7">
                  <c:v>13-Jul</c:v>
                </c:pt>
                <c:pt idx="8">
                  <c:v>14-Jul</c:v>
                </c:pt>
                <c:pt idx="9">
                  <c:v>15-Jul</c:v>
                </c:pt>
                <c:pt idx="10">
                  <c:v>16-Jul</c:v>
                </c:pt>
                <c:pt idx="11">
                  <c:v>22-Jul</c:v>
                </c:pt>
                <c:pt idx="12">
                  <c:v>23-Jul</c:v>
                </c:pt>
                <c:pt idx="13">
                  <c:v>25-Jul</c:v>
                </c:pt>
                <c:pt idx="14">
                  <c:v>26-Jul</c:v>
                </c:pt>
                <c:pt idx="15">
                  <c:v>27-Jul</c:v>
                </c:pt>
                <c:pt idx="16">
                  <c:v>28-Jul</c:v>
                </c:pt>
                <c:pt idx="17">
                  <c:v>29-Jul</c:v>
                </c:pt>
                <c:pt idx="18">
                  <c:v>30-Jul</c:v>
                </c:pt>
                <c:pt idx="19">
                  <c:v>31-Jul</c:v>
                </c:pt>
                <c:pt idx="20">
                  <c:v>11-Aug</c:v>
                </c:pt>
                <c:pt idx="21">
                  <c:v>12-Aug</c:v>
                </c:pt>
                <c:pt idx="22">
                  <c:v>13-Aug</c:v>
                </c:pt>
                <c:pt idx="23">
                  <c:v>14-Aug</c:v>
                </c:pt>
                <c:pt idx="24">
                  <c:v>15-Aug</c:v>
                </c:pt>
                <c:pt idx="25">
                  <c:v>16-Aug</c:v>
                </c:pt>
                <c:pt idx="26">
                  <c:v>19-Aug</c:v>
                </c:pt>
                <c:pt idx="27">
                  <c:v>20-Aug</c:v>
                </c:pt>
                <c:pt idx="28">
                  <c:v>21-Aug</c:v>
                </c:pt>
                <c:pt idx="29">
                  <c:v>22-Aug</c:v>
                </c:pt>
                <c:pt idx="30">
                  <c:v>25-Aug</c:v>
                </c:pt>
                <c:pt idx="31">
                  <c:v>26-Aug</c:v>
                </c:pt>
                <c:pt idx="32">
                  <c:v>27-Aug</c:v>
                </c:pt>
                <c:pt idx="33">
                  <c:v>28-Aug</c:v>
                </c:pt>
                <c:pt idx="34">
                  <c:v>29-Aug</c:v>
                </c:pt>
                <c:pt idx="35">
                  <c:v>30-Aug</c:v>
                </c:pt>
                <c:pt idx="36">
                  <c:v>01-Sep</c:v>
                </c:pt>
                <c:pt idx="37">
                  <c:v>02-Sep</c:v>
                </c:pt>
                <c:pt idx="38">
                  <c:v>03-Sep</c:v>
                </c:pt>
                <c:pt idx="39">
                  <c:v>04-Sep</c:v>
                </c:pt>
                <c:pt idx="40">
                  <c:v>05-Sep</c:v>
                </c:pt>
                <c:pt idx="41">
                  <c:v>06-Sep</c:v>
                </c:pt>
                <c:pt idx="42">
                  <c:v>09-Sep</c:v>
                </c:pt>
                <c:pt idx="43">
                  <c:v>10-Sep</c:v>
                </c:pt>
                <c:pt idx="44">
                  <c:v>11-Sep</c:v>
                </c:pt>
                <c:pt idx="45">
                  <c:v>12-Sep</c:v>
                </c:pt>
                <c:pt idx="46">
                  <c:v>13-Sep</c:v>
                </c:pt>
                <c:pt idx="47">
                  <c:v>16-Sep</c:v>
                </c:pt>
                <c:pt idx="48">
                  <c:v>17-Sep</c:v>
                </c:pt>
                <c:pt idx="49">
                  <c:v>18-Sep</c:v>
                </c:pt>
                <c:pt idx="50">
                  <c:v>19-Sep</c:v>
                </c:pt>
                <c:pt idx="51">
                  <c:v>20-Sep</c:v>
                </c:pt>
                <c:pt idx="52">
                  <c:v>21-Sep</c:v>
                </c:pt>
                <c:pt idx="53">
                  <c:v>22-Sep</c:v>
                </c:pt>
                <c:pt idx="54">
                  <c:v>23-Sep</c:v>
                </c:pt>
              </c:strCache>
            </c:strRef>
          </c:cat>
          <c:val>
            <c:numRef>
              <c:f>'energy vs pop''n'!$D$2:$D$56</c:f>
              <c:numCache>
                <c:formatCode>_("£"* #,##0.00_);_("£"* \(#,##0.00\);_("£"* "-"??_);_(@_)</c:formatCode>
                <c:ptCount val="55"/>
                <c:pt idx="0">
                  <c:v>0.82947222222222239</c:v>
                </c:pt>
                <c:pt idx="1">
                  <c:v>0.76424324324324322</c:v>
                </c:pt>
                <c:pt idx="2">
                  <c:v>0.5049499999999999</c:v>
                </c:pt>
                <c:pt idx="3">
                  <c:v>0.48715000000000003</c:v>
                </c:pt>
                <c:pt idx="4">
                  <c:v>0.77443243243243243</c:v>
                </c:pt>
                <c:pt idx="5">
                  <c:v>0.71727777777777768</c:v>
                </c:pt>
                <c:pt idx="6">
                  <c:v>0.70656756756756778</c:v>
                </c:pt>
                <c:pt idx="7">
                  <c:v>0.77545714285714284</c:v>
                </c:pt>
                <c:pt idx="8">
                  <c:v>0.77379411764705908</c:v>
                </c:pt>
                <c:pt idx="9">
                  <c:v>0.42038461538461547</c:v>
                </c:pt>
                <c:pt idx="10">
                  <c:v>0.38482051282051277</c:v>
                </c:pt>
                <c:pt idx="11">
                  <c:v>0.38358536585365854</c:v>
                </c:pt>
                <c:pt idx="12">
                  <c:v>0.38521951219512196</c:v>
                </c:pt>
                <c:pt idx="13">
                  <c:v>0.73641025641025637</c:v>
                </c:pt>
                <c:pt idx="14">
                  <c:v>0.68154761904761907</c:v>
                </c:pt>
                <c:pt idx="15">
                  <c:v>0.64692857142857141</c:v>
                </c:pt>
                <c:pt idx="16">
                  <c:v>0.67536585365853674</c:v>
                </c:pt>
                <c:pt idx="17">
                  <c:v>0.46481395348837223</c:v>
                </c:pt>
                <c:pt idx="18">
                  <c:v>0.43711627906976741</c:v>
                </c:pt>
                <c:pt idx="19">
                  <c:v>0.68494999999999995</c:v>
                </c:pt>
                <c:pt idx="20">
                  <c:v>0.58936585365853666</c:v>
                </c:pt>
                <c:pt idx="21">
                  <c:v>0.3843333333333333</c:v>
                </c:pt>
                <c:pt idx="22">
                  <c:v>0.38476190476190475</c:v>
                </c:pt>
                <c:pt idx="23">
                  <c:v>0.72788888888888881</c:v>
                </c:pt>
                <c:pt idx="24">
                  <c:v>0.79283333333333306</c:v>
                </c:pt>
                <c:pt idx="25">
                  <c:v>0.69454999999999989</c:v>
                </c:pt>
                <c:pt idx="26">
                  <c:v>0.4904761904761904</c:v>
                </c:pt>
                <c:pt idx="27">
                  <c:v>0.42961904761904757</c:v>
                </c:pt>
                <c:pt idx="28">
                  <c:v>0.70248717948717954</c:v>
                </c:pt>
                <c:pt idx="29">
                  <c:v>0.66627500000000006</c:v>
                </c:pt>
                <c:pt idx="30">
                  <c:v>0.56966666666666677</c:v>
                </c:pt>
                <c:pt idx="31">
                  <c:v>0.39555000000000001</c:v>
                </c:pt>
                <c:pt idx="32">
                  <c:v>0.39239999999999997</c:v>
                </c:pt>
                <c:pt idx="33">
                  <c:v>0.55672500000000025</c:v>
                </c:pt>
                <c:pt idx="34">
                  <c:v>0.59931707317073168</c:v>
                </c:pt>
                <c:pt idx="35">
                  <c:v>0.57124390243902445</c:v>
                </c:pt>
                <c:pt idx="36">
                  <c:v>0.3903863636363637</c:v>
                </c:pt>
                <c:pt idx="37">
                  <c:v>0.35862222222222234</c:v>
                </c:pt>
                <c:pt idx="38">
                  <c:v>0.33028888888888885</c:v>
                </c:pt>
                <c:pt idx="39">
                  <c:v>0.53478571428571431</c:v>
                </c:pt>
                <c:pt idx="40">
                  <c:v>0.49670454545454545</c:v>
                </c:pt>
                <c:pt idx="41">
                  <c:v>0.52037777777777761</c:v>
                </c:pt>
                <c:pt idx="42">
                  <c:v>0.35351063829787238</c:v>
                </c:pt>
                <c:pt idx="43">
                  <c:v>0.33552083333333343</c:v>
                </c:pt>
                <c:pt idx="44">
                  <c:v>0.53868085106382979</c:v>
                </c:pt>
                <c:pt idx="45">
                  <c:v>0.59081720430107532</c:v>
                </c:pt>
                <c:pt idx="46">
                  <c:v>0.57793617021276589</c:v>
                </c:pt>
                <c:pt idx="47">
                  <c:v>0.30241666666666661</c:v>
                </c:pt>
                <c:pt idx="48">
                  <c:v>0.29995833333333333</c:v>
                </c:pt>
                <c:pt idx="49">
                  <c:v>0.49161702127659568</c:v>
                </c:pt>
                <c:pt idx="50">
                  <c:v>0.55099999999999993</c:v>
                </c:pt>
                <c:pt idx="51">
                  <c:v>0.55437500000000006</c:v>
                </c:pt>
                <c:pt idx="52">
                  <c:v>0.50908333333333322</c:v>
                </c:pt>
                <c:pt idx="53">
                  <c:v>0.52036170212765964</c:v>
                </c:pt>
                <c:pt idx="54">
                  <c:v>0.4537659574468087</c:v>
                </c:pt>
              </c:numCache>
            </c:numRef>
          </c:val>
          <c:smooth val="0"/>
          <c:extLst>
            <c:ext xmlns:c16="http://schemas.microsoft.com/office/drawing/2014/chart" uri="{C3380CC4-5D6E-409C-BE32-E72D297353CC}">
              <c16:uniqueId val="{00000000-55BC-4A67-8D2D-609178B411B3}"/>
            </c:ext>
          </c:extLst>
        </c:ser>
        <c:dLbls>
          <c:showLegendKey val="0"/>
          <c:showVal val="0"/>
          <c:showCatName val="0"/>
          <c:showSerName val="0"/>
          <c:showPercent val="0"/>
          <c:showBubbleSize val="0"/>
        </c:dLbls>
        <c:smooth val="0"/>
        <c:axId val="264066144"/>
        <c:axId val="264076968"/>
      </c:lineChart>
      <c:catAx>
        <c:axId val="26406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076968"/>
        <c:crosses val="autoZero"/>
        <c:auto val="1"/>
        <c:lblAlgn val="ctr"/>
        <c:lblOffset val="100"/>
        <c:noMultiLvlLbl val="0"/>
      </c:catAx>
      <c:valAx>
        <c:axId val="2640769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06614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pop''n'!$A$2:$A$63</c:f>
              <c:strCache>
                <c:ptCount val="62"/>
                <c:pt idx="0">
                  <c:v>06-Jul</c:v>
                </c:pt>
                <c:pt idx="1">
                  <c:v>07-Jul</c:v>
                </c:pt>
                <c:pt idx="2">
                  <c:v>08-Jul</c:v>
                </c:pt>
                <c:pt idx="3">
                  <c:v>09-Jul</c:v>
                </c:pt>
                <c:pt idx="4">
                  <c:v>10-Jul</c:v>
                </c:pt>
                <c:pt idx="5">
                  <c:v>11-Jul</c:v>
                </c:pt>
                <c:pt idx="6">
                  <c:v>12-Jul</c:v>
                </c:pt>
                <c:pt idx="7">
                  <c:v>13-Jul</c:v>
                </c:pt>
                <c:pt idx="8">
                  <c:v>14-Jul</c:v>
                </c:pt>
                <c:pt idx="9">
                  <c:v>15-Jul</c:v>
                </c:pt>
                <c:pt idx="10">
                  <c:v>22-Jul</c:v>
                </c:pt>
                <c:pt idx="11">
                  <c:v>23-Jul</c:v>
                </c:pt>
                <c:pt idx="12">
                  <c:v>24-Jul</c:v>
                </c:pt>
                <c:pt idx="13">
                  <c:v>25-Jul</c:v>
                </c:pt>
                <c:pt idx="14">
                  <c:v>26-Jul</c:v>
                </c:pt>
                <c:pt idx="15">
                  <c:v>27-Jul</c:v>
                </c:pt>
                <c:pt idx="16">
                  <c:v>28-Jul</c:v>
                </c:pt>
                <c:pt idx="17">
                  <c:v>29-Jul</c:v>
                </c:pt>
                <c:pt idx="18">
                  <c:v>30-Jul</c:v>
                </c:pt>
                <c:pt idx="19">
                  <c:v>31-Jul</c:v>
                </c:pt>
                <c:pt idx="20">
                  <c:v>01-Aug</c:v>
                </c:pt>
                <c:pt idx="21">
                  <c:v>05-Aug</c:v>
                </c:pt>
                <c:pt idx="22">
                  <c:v>06-Aug</c:v>
                </c:pt>
                <c:pt idx="23">
                  <c:v>07-Aug</c:v>
                </c:pt>
                <c:pt idx="24">
                  <c:v>08-Aug</c:v>
                </c:pt>
                <c:pt idx="25">
                  <c:v>11-Aug</c:v>
                </c:pt>
                <c:pt idx="26">
                  <c:v>12-Aug</c:v>
                </c:pt>
                <c:pt idx="27">
                  <c:v>13-Aug</c:v>
                </c:pt>
                <c:pt idx="28">
                  <c:v>14-Aug</c:v>
                </c:pt>
                <c:pt idx="29">
                  <c:v>15-Aug</c:v>
                </c:pt>
                <c:pt idx="30">
                  <c:v>16-Aug</c:v>
                </c:pt>
                <c:pt idx="31">
                  <c:v>19-Aug</c:v>
                </c:pt>
                <c:pt idx="32">
                  <c:v>20-Aug</c:v>
                </c:pt>
                <c:pt idx="33">
                  <c:v>21-Aug</c:v>
                </c:pt>
                <c:pt idx="34">
                  <c:v>22-Aug</c:v>
                </c:pt>
                <c:pt idx="35">
                  <c:v>25-Aug</c:v>
                </c:pt>
                <c:pt idx="36">
                  <c:v>26-Aug</c:v>
                </c:pt>
                <c:pt idx="37">
                  <c:v>27-Aug</c:v>
                </c:pt>
                <c:pt idx="38">
                  <c:v>28-Aug</c:v>
                </c:pt>
                <c:pt idx="39">
                  <c:v>29-Aug</c:v>
                </c:pt>
                <c:pt idx="40">
                  <c:v>30-Aug</c:v>
                </c:pt>
                <c:pt idx="41">
                  <c:v>01-Sep</c:v>
                </c:pt>
                <c:pt idx="42">
                  <c:v>02-Sep</c:v>
                </c:pt>
                <c:pt idx="43">
                  <c:v>03-Sep</c:v>
                </c:pt>
                <c:pt idx="44">
                  <c:v>04-Sep</c:v>
                </c:pt>
                <c:pt idx="45">
                  <c:v>05-Sep</c:v>
                </c:pt>
                <c:pt idx="46">
                  <c:v>06-Sep</c:v>
                </c:pt>
                <c:pt idx="47">
                  <c:v>09-Sep</c:v>
                </c:pt>
                <c:pt idx="48">
                  <c:v>10-Sep</c:v>
                </c:pt>
                <c:pt idx="49">
                  <c:v>11-Sep</c:v>
                </c:pt>
                <c:pt idx="50">
                  <c:v>12-Sep</c:v>
                </c:pt>
                <c:pt idx="51">
                  <c:v>13-Sep</c:v>
                </c:pt>
                <c:pt idx="52">
                  <c:v>16-Sep</c:v>
                </c:pt>
                <c:pt idx="53">
                  <c:v>17-Sep</c:v>
                </c:pt>
                <c:pt idx="54">
                  <c:v>18-Sep</c:v>
                </c:pt>
                <c:pt idx="55">
                  <c:v>19-Sep</c:v>
                </c:pt>
                <c:pt idx="56">
                  <c:v>20-Sep</c:v>
                </c:pt>
                <c:pt idx="57">
                  <c:v>21-Sep</c:v>
                </c:pt>
                <c:pt idx="58">
                  <c:v>22-Sep</c:v>
                </c:pt>
                <c:pt idx="59">
                  <c:v>23-Sep</c:v>
                </c:pt>
                <c:pt idx="60">
                  <c:v>24-Sep</c:v>
                </c:pt>
                <c:pt idx="61">
                  <c:v>25-Sep</c:v>
                </c:pt>
              </c:strCache>
            </c:strRef>
          </c:cat>
          <c:val>
            <c:numRef>
              <c:f>'energy vs pop''n'!$D$2:$D$63</c:f>
              <c:numCache>
                <c:formatCode>_("£"* #,##0.00_);_("£"* \(#,##0.00\);_("£"* "-"??_);_(@_)</c:formatCode>
                <c:ptCount val="62"/>
                <c:pt idx="0">
                  <c:v>0.61123404255319147</c:v>
                </c:pt>
                <c:pt idx="1">
                  <c:v>0.68295121951219528</c:v>
                </c:pt>
                <c:pt idx="2">
                  <c:v>0.48682222222222232</c:v>
                </c:pt>
                <c:pt idx="3">
                  <c:v>0.47831111111111096</c:v>
                </c:pt>
                <c:pt idx="4">
                  <c:v>0.57348888888888883</c:v>
                </c:pt>
                <c:pt idx="5">
                  <c:v>0.58955555555555561</c:v>
                </c:pt>
                <c:pt idx="6">
                  <c:v>0.66980952380952374</c:v>
                </c:pt>
                <c:pt idx="7">
                  <c:v>0.68130952380952403</c:v>
                </c:pt>
                <c:pt idx="8">
                  <c:v>0.60316279069767453</c:v>
                </c:pt>
                <c:pt idx="9">
                  <c:v>0.44652173913043469</c:v>
                </c:pt>
                <c:pt idx="10">
                  <c:v>0.45720454545454542</c:v>
                </c:pt>
                <c:pt idx="11">
                  <c:v>0.4580454545454547</c:v>
                </c:pt>
                <c:pt idx="12">
                  <c:v>0.55723255813953498</c:v>
                </c:pt>
                <c:pt idx="13">
                  <c:v>0.51295348837209309</c:v>
                </c:pt>
                <c:pt idx="14">
                  <c:v>0.61381395348837209</c:v>
                </c:pt>
                <c:pt idx="15">
                  <c:v>0.57197674418604649</c:v>
                </c:pt>
                <c:pt idx="16">
                  <c:v>0.56718181818181845</c:v>
                </c:pt>
                <c:pt idx="17">
                  <c:v>0.4718222222222222</c:v>
                </c:pt>
                <c:pt idx="18">
                  <c:v>0.42256818181818184</c:v>
                </c:pt>
                <c:pt idx="19">
                  <c:v>0.54376744186046511</c:v>
                </c:pt>
                <c:pt idx="20">
                  <c:v>0.53631111111111118</c:v>
                </c:pt>
                <c:pt idx="21">
                  <c:v>0.36717021276595746</c:v>
                </c:pt>
                <c:pt idx="22">
                  <c:v>0.4183617021276595</c:v>
                </c:pt>
                <c:pt idx="23">
                  <c:v>0.53310869565217411</c:v>
                </c:pt>
                <c:pt idx="24">
                  <c:v>0.53989130434782628</c:v>
                </c:pt>
                <c:pt idx="25">
                  <c:v>0.60819047619047617</c:v>
                </c:pt>
                <c:pt idx="26">
                  <c:v>0.47793181818181824</c:v>
                </c:pt>
                <c:pt idx="27">
                  <c:v>0.48900000000000005</c:v>
                </c:pt>
                <c:pt idx="28">
                  <c:v>0.56566666666666687</c:v>
                </c:pt>
                <c:pt idx="29">
                  <c:v>0.64700000000000002</c:v>
                </c:pt>
                <c:pt idx="30">
                  <c:v>0.59274999999999989</c:v>
                </c:pt>
                <c:pt idx="31">
                  <c:v>0.41759183673469386</c:v>
                </c:pt>
                <c:pt idx="32">
                  <c:v>0.40938775510204078</c:v>
                </c:pt>
                <c:pt idx="33">
                  <c:v>0.50595918367346937</c:v>
                </c:pt>
                <c:pt idx="34">
                  <c:v>0.53985416666666652</c:v>
                </c:pt>
                <c:pt idx="35">
                  <c:v>0.53695833333333332</c:v>
                </c:pt>
                <c:pt idx="36">
                  <c:v>0.35462000000000005</c:v>
                </c:pt>
                <c:pt idx="37">
                  <c:v>0.37113999999999997</c:v>
                </c:pt>
                <c:pt idx="38">
                  <c:v>0.47561224489795922</c:v>
                </c:pt>
                <c:pt idx="39">
                  <c:v>0.48981632653061219</c:v>
                </c:pt>
                <c:pt idx="40">
                  <c:v>0.52804081632653055</c:v>
                </c:pt>
                <c:pt idx="41">
                  <c:v>0.35604166666666665</c:v>
                </c:pt>
                <c:pt idx="42">
                  <c:v>0.36906000000000005</c:v>
                </c:pt>
                <c:pt idx="43">
                  <c:v>0.37521568627450985</c:v>
                </c:pt>
                <c:pt idx="44">
                  <c:v>0.44805882352941173</c:v>
                </c:pt>
                <c:pt idx="45">
                  <c:v>0.48470588235294104</c:v>
                </c:pt>
                <c:pt idx="46">
                  <c:v>0.48892156862745095</c:v>
                </c:pt>
                <c:pt idx="47">
                  <c:v>0.33661538461538465</c:v>
                </c:pt>
                <c:pt idx="48">
                  <c:v>0.35830769230769227</c:v>
                </c:pt>
                <c:pt idx="49">
                  <c:v>0.46927450980392155</c:v>
                </c:pt>
                <c:pt idx="50">
                  <c:v>0.44411538461538463</c:v>
                </c:pt>
                <c:pt idx="51">
                  <c:v>0.52566037735849069</c:v>
                </c:pt>
                <c:pt idx="52">
                  <c:v>0.33782692307692314</c:v>
                </c:pt>
                <c:pt idx="53">
                  <c:v>0.37632692307692317</c:v>
                </c:pt>
                <c:pt idx="54">
                  <c:v>0.47513725490196085</c:v>
                </c:pt>
                <c:pt idx="55">
                  <c:v>0.50603846153846166</c:v>
                </c:pt>
                <c:pt idx="56">
                  <c:v>0.5390588235294117</c:v>
                </c:pt>
                <c:pt idx="57">
                  <c:v>0.54301923076923064</c:v>
                </c:pt>
                <c:pt idx="58">
                  <c:v>0.55635849056603759</c:v>
                </c:pt>
                <c:pt idx="59">
                  <c:v>0.3859629629629629</c:v>
                </c:pt>
                <c:pt idx="60">
                  <c:v>0.35046296296296298</c:v>
                </c:pt>
                <c:pt idx="61">
                  <c:v>0.52064814814814808</c:v>
                </c:pt>
              </c:numCache>
            </c:numRef>
          </c:val>
          <c:smooth val="0"/>
          <c:extLst>
            <c:ext xmlns:c16="http://schemas.microsoft.com/office/drawing/2014/chart" uri="{C3380CC4-5D6E-409C-BE32-E72D297353CC}">
              <c16:uniqueId val="{00000000-1570-47B6-BBAC-AC22E2933869}"/>
            </c:ext>
          </c:extLst>
        </c:ser>
        <c:dLbls>
          <c:showLegendKey val="0"/>
          <c:showVal val="0"/>
          <c:showCatName val="0"/>
          <c:showSerName val="0"/>
          <c:showPercent val="0"/>
          <c:showBubbleSize val="0"/>
        </c:dLbls>
        <c:smooth val="0"/>
        <c:axId val="293580512"/>
        <c:axId val="274246032"/>
      </c:lineChart>
      <c:catAx>
        <c:axId val="2935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246032"/>
        <c:crosses val="autoZero"/>
        <c:auto val="1"/>
        <c:lblAlgn val="ctr"/>
        <c:lblOffset val="100"/>
        <c:noMultiLvlLbl val="0"/>
      </c:catAx>
      <c:valAx>
        <c:axId val="27424603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58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'energy vs pop''n'!$D$1</c:f>
              <c:strCache>
                <c:ptCount val="1"/>
                <c:pt idx="0">
                  <c:v>energy cost per person per day</c:v>
                </c:pt>
              </c:strCache>
            </c:strRef>
          </c:tx>
          <c:spPr>
            <a:ln w="28575" cap="rnd">
              <a:solidFill>
                <a:schemeClr val="accent1"/>
              </a:solidFill>
              <a:round/>
            </a:ln>
            <a:effectLst/>
          </c:spPr>
          <c:marker>
            <c:symbol val="none"/>
          </c:marker>
          <c:cat>
            <c:strRef>
              <c:f>'energy vs pop''n'!$A$2:$A$60</c:f>
              <c:strCache>
                <c:ptCount val="59"/>
                <c:pt idx="0">
                  <c:v>06-Jul</c:v>
                </c:pt>
                <c:pt idx="1">
                  <c:v>07-Jul</c:v>
                </c:pt>
                <c:pt idx="2">
                  <c:v>08-Jul</c:v>
                </c:pt>
                <c:pt idx="3">
                  <c:v>09-Jul</c:v>
                </c:pt>
                <c:pt idx="4">
                  <c:v>10-Jul</c:v>
                </c:pt>
                <c:pt idx="5">
                  <c:v>11-Jul</c:v>
                </c:pt>
                <c:pt idx="6">
                  <c:v>12-Jul</c:v>
                </c:pt>
                <c:pt idx="7">
                  <c:v>13-Jul</c:v>
                </c:pt>
                <c:pt idx="8">
                  <c:v>22-Jul</c:v>
                </c:pt>
                <c:pt idx="9">
                  <c:v>23-Jul</c:v>
                </c:pt>
                <c:pt idx="10">
                  <c:v>24-Jul</c:v>
                </c:pt>
                <c:pt idx="11">
                  <c:v>25-Jul</c:v>
                </c:pt>
                <c:pt idx="12">
                  <c:v>26-Jul</c:v>
                </c:pt>
                <c:pt idx="13">
                  <c:v>27-Jul</c:v>
                </c:pt>
                <c:pt idx="14">
                  <c:v>28-Jul</c:v>
                </c:pt>
                <c:pt idx="15">
                  <c:v>29-Jul</c:v>
                </c:pt>
                <c:pt idx="16">
                  <c:v>30-Jul</c:v>
                </c:pt>
                <c:pt idx="17">
                  <c:v>31-Jul</c:v>
                </c:pt>
                <c:pt idx="18">
                  <c:v>01-Aug</c:v>
                </c:pt>
                <c:pt idx="19">
                  <c:v>05-Aug</c:v>
                </c:pt>
                <c:pt idx="20">
                  <c:v>06-Aug</c:v>
                </c:pt>
                <c:pt idx="21">
                  <c:v>07-Aug</c:v>
                </c:pt>
                <c:pt idx="22">
                  <c:v>08-Aug</c:v>
                </c:pt>
                <c:pt idx="23">
                  <c:v>11-Aug</c:v>
                </c:pt>
                <c:pt idx="24">
                  <c:v>12-Aug</c:v>
                </c:pt>
                <c:pt idx="25">
                  <c:v>13-Aug</c:v>
                </c:pt>
                <c:pt idx="26">
                  <c:v>14-Aug</c:v>
                </c:pt>
                <c:pt idx="27">
                  <c:v>15-Aug</c:v>
                </c:pt>
                <c:pt idx="28">
                  <c:v>16-Aug</c:v>
                </c:pt>
                <c:pt idx="29">
                  <c:v>19-Aug</c:v>
                </c:pt>
                <c:pt idx="30">
                  <c:v>20-Aug</c:v>
                </c:pt>
                <c:pt idx="31">
                  <c:v>21-Aug</c:v>
                </c:pt>
                <c:pt idx="32">
                  <c:v>22-Aug</c:v>
                </c:pt>
                <c:pt idx="33">
                  <c:v>25-Aug</c:v>
                </c:pt>
                <c:pt idx="34">
                  <c:v>26-Aug</c:v>
                </c:pt>
                <c:pt idx="35">
                  <c:v>27-Aug</c:v>
                </c:pt>
                <c:pt idx="36">
                  <c:v>28-Aug</c:v>
                </c:pt>
                <c:pt idx="37">
                  <c:v>29-Aug</c:v>
                </c:pt>
                <c:pt idx="38">
                  <c:v>30-Aug</c:v>
                </c:pt>
                <c:pt idx="39">
                  <c:v>02-Sep</c:v>
                </c:pt>
                <c:pt idx="40">
                  <c:v>03-Sep</c:v>
                </c:pt>
                <c:pt idx="41">
                  <c:v>04-Sep</c:v>
                </c:pt>
                <c:pt idx="42">
                  <c:v>05-Sep</c:v>
                </c:pt>
                <c:pt idx="43">
                  <c:v>06-Sep</c:v>
                </c:pt>
                <c:pt idx="44">
                  <c:v>09-Sep</c:v>
                </c:pt>
                <c:pt idx="45">
                  <c:v>10-Sep</c:v>
                </c:pt>
                <c:pt idx="46">
                  <c:v>11-Sep</c:v>
                </c:pt>
                <c:pt idx="47">
                  <c:v>12-Sep</c:v>
                </c:pt>
                <c:pt idx="48">
                  <c:v>13-Sep</c:v>
                </c:pt>
                <c:pt idx="49">
                  <c:v>16-Sep</c:v>
                </c:pt>
                <c:pt idx="50">
                  <c:v>17-Sep</c:v>
                </c:pt>
                <c:pt idx="51">
                  <c:v>18-Sep</c:v>
                </c:pt>
                <c:pt idx="52">
                  <c:v>19-Sep</c:v>
                </c:pt>
                <c:pt idx="53">
                  <c:v>20-Sep</c:v>
                </c:pt>
                <c:pt idx="54">
                  <c:v>21-Sep</c:v>
                </c:pt>
                <c:pt idx="55">
                  <c:v>22-Sep</c:v>
                </c:pt>
                <c:pt idx="56">
                  <c:v>23-Sep</c:v>
                </c:pt>
                <c:pt idx="57">
                  <c:v>24-Sep</c:v>
                </c:pt>
                <c:pt idx="58">
                  <c:v>25-Sep</c:v>
                </c:pt>
              </c:strCache>
            </c:strRef>
          </c:cat>
          <c:val>
            <c:numRef>
              <c:f>'energy vs pop''n'!$D$2:$D$60</c:f>
              <c:numCache>
                <c:formatCode>_("£"* #,##0.00_);_("£"* \(#,##0.00\);_("£"* "-"??_);_(@_)</c:formatCode>
                <c:ptCount val="59"/>
                <c:pt idx="0">
                  <c:v>0.63775000000000004</c:v>
                </c:pt>
                <c:pt idx="1">
                  <c:v>0.6403783783783783</c:v>
                </c:pt>
                <c:pt idx="2">
                  <c:v>0.48684999999999989</c:v>
                </c:pt>
                <c:pt idx="3">
                  <c:v>0.49867500000000009</c:v>
                </c:pt>
                <c:pt idx="4">
                  <c:v>0.61645945945945935</c:v>
                </c:pt>
                <c:pt idx="5">
                  <c:v>0.63002777777777774</c:v>
                </c:pt>
                <c:pt idx="6">
                  <c:v>0.6193783783783785</c:v>
                </c:pt>
                <c:pt idx="7">
                  <c:v>0.63117142857142883</c:v>
                </c:pt>
                <c:pt idx="8">
                  <c:v>0.49039024390243907</c:v>
                </c:pt>
                <c:pt idx="9">
                  <c:v>0.47778048780487808</c:v>
                </c:pt>
                <c:pt idx="10">
                  <c:v>0.61697368421052612</c:v>
                </c:pt>
                <c:pt idx="11">
                  <c:v>0.6453333333333332</c:v>
                </c:pt>
                <c:pt idx="12">
                  <c:v>0.56278571428571433</c:v>
                </c:pt>
                <c:pt idx="13">
                  <c:v>0.54688095238095236</c:v>
                </c:pt>
                <c:pt idx="14">
                  <c:v>0.56904878048780516</c:v>
                </c:pt>
                <c:pt idx="15">
                  <c:v>0.47713953488372102</c:v>
                </c:pt>
                <c:pt idx="16">
                  <c:v>0.45758139534883724</c:v>
                </c:pt>
                <c:pt idx="17">
                  <c:v>0.57264999999999999</c:v>
                </c:pt>
                <c:pt idx="18">
                  <c:v>0.60447368421052616</c:v>
                </c:pt>
                <c:pt idx="19">
                  <c:v>0.45979069767441871</c:v>
                </c:pt>
                <c:pt idx="20">
                  <c:v>0.45195348837209304</c:v>
                </c:pt>
                <c:pt idx="21">
                  <c:v>0.5743414634146341</c:v>
                </c:pt>
                <c:pt idx="22">
                  <c:v>0.53658536585365824</c:v>
                </c:pt>
                <c:pt idx="23">
                  <c:v>0.56236585365853664</c:v>
                </c:pt>
                <c:pt idx="24">
                  <c:v>0.48104761904761906</c:v>
                </c:pt>
                <c:pt idx="25">
                  <c:v>0.47180952380952385</c:v>
                </c:pt>
                <c:pt idx="26">
                  <c:v>0.63322222222222224</c:v>
                </c:pt>
                <c:pt idx="27">
                  <c:v>0.65172222222222231</c:v>
                </c:pt>
                <c:pt idx="28">
                  <c:v>0.61787500000000017</c:v>
                </c:pt>
                <c:pt idx="29">
                  <c:v>0.47671428571428559</c:v>
                </c:pt>
                <c:pt idx="30">
                  <c:v>0.47980952380952369</c:v>
                </c:pt>
                <c:pt idx="31">
                  <c:v>0.59828205128205103</c:v>
                </c:pt>
                <c:pt idx="32">
                  <c:v>0.58940000000000003</c:v>
                </c:pt>
                <c:pt idx="33">
                  <c:v>0.57023076923076921</c:v>
                </c:pt>
                <c:pt idx="34">
                  <c:v>0.47344999999999982</c:v>
                </c:pt>
                <c:pt idx="35">
                  <c:v>0.47334999999999994</c:v>
                </c:pt>
                <c:pt idx="36">
                  <c:v>0.57874999999999988</c:v>
                </c:pt>
                <c:pt idx="37">
                  <c:v>0.54663414634146335</c:v>
                </c:pt>
                <c:pt idx="38">
                  <c:v>0.54404878048780492</c:v>
                </c:pt>
                <c:pt idx="39">
                  <c:v>0.42795555555555553</c:v>
                </c:pt>
                <c:pt idx="40">
                  <c:v>0.42948888888888892</c:v>
                </c:pt>
                <c:pt idx="41">
                  <c:v>0.5635</c:v>
                </c:pt>
                <c:pt idx="42">
                  <c:v>0.52104545454545437</c:v>
                </c:pt>
                <c:pt idx="43">
                  <c:v>0.56233333333333324</c:v>
                </c:pt>
                <c:pt idx="44">
                  <c:v>0.41112765957446817</c:v>
                </c:pt>
                <c:pt idx="45">
                  <c:v>0.42177083333333337</c:v>
                </c:pt>
                <c:pt idx="46">
                  <c:v>0.51536170212765942</c:v>
                </c:pt>
                <c:pt idx="47">
                  <c:v>0.51419354838709685</c:v>
                </c:pt>
                <c:pt idx="48">
                  <c:v>0.52974468085106385</c:v>
                </c:pt>
                <c:pt idx="49">
                  <c:v>0.4549166666666668</c:v>
                </c:pt>
                <c:pt idx="50">
                  <c:v>0.4473125</c:v>
                </c:pt>
                <c:pt idx="51">
                  <c:v>0.52100000000000002</c:v>
                </c:pt>
                <c:pt idx="52">
                  <c:v>0.5404468085106382</c:v>
                </c:pt>
                <c:pt idx="53">
                  <c:v>0.55443750000000025</c:v>
                </c:pt>
                <c:pt idx="54">
                  <c:v>0.56843750000000004</c:v>
                </c:pt>
                <c:pt idx="55">
                  <c:v>0.57459574468085095</c:v>
                </c:pt>
                <c:pt idx="56">
                  <c:v>0.51353191489361705</c:v>
                </c:pt>
                <c:pt idx="57">
                  <c:v>0.47791489361702144</c:v>
                </c:pt>
                <c:pt idx="58">
                  <c:v>0.57904255319148945</c:v>
                </c:pt>
              </c:numCache>
            </c:numRef>
          </c:val>
          <c:smooth val="0"/>
          <c:extLst>
            <c:ext xmlns:c16="http://schemas.microsoft.com/office/drawing/2014/chart" uri="{C3380CC4-5D6E-409C-BE32-E72D297353CC}">
              <c16:uniqueId val="{00000000-01B6-4816-B6C3-158FC870396A}"/>
            </c:ext>
          </c:extLst>
        </c:ser>
        <c:dLbls>
          <c:showLegendKey val="0"/>
          <c:showVal val="0"/>
          <c:showCatName val="0"/>
          <c:showSerName val="0"/>
          <c:showPercent val="0"/>
          <c:showBubbleSize val="0"/>
        </c:dLbls>
        <c:smooth val="0"/>
        <c:axId val="278775544"/>
        <c:axId val="278775216"/>
      </c:lineChart>
      <c:catAx>
        <c:axId val="27877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775216"/>
        <c:crosses val="autoZero"/>
        <c:auto val="1"/>
        <c:lblAlgn val="ctr"/>
        <c:lblOffset val="100"/>
        <c:noMultiLvlLbl val="0"/>
      </c:catAx>
      <c:valAx>
        <c:axId val="27877521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77554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Briefing Template</Template>
  <TotalTime>9</TotalTime>
  <Pages>10</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ARNOTT Andrew</dc:creator>
  <cp:keywords/>
  <dc:description/>
  <cp:lastModifiedBy>ARNOTT Andrew</cp:lastModifiedBy>
  <cp:revision>3</cp:revision>
  <cp:lastPrinted>2016-05-30T10:25:00Z</cp:lastPrinted>
  <dcterms:created xsi:type="dcterms:W3CDTF">2018-01-03T10:35:00Z</dcterms:created>
  <dcterms:modified xsi:type="dcterms:W3CDTF">2018-01-03T10:44:00Z</dcterms:modified>
</cp:coreProperties>
</file>